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932AA9">
      <w:pPr>
        <w:rPr>
          <w:rFonts w:eastAsia="Times New Roman"/>
          <w:b/>
          <w:sz w:val="20"/>
          <w:szCs w:val="20"/>
          <w:lang w:eastAsia="en-GB"/>
        </w:rPr>
      </w:pPr>
      <w:r>
        <w:rPr>
          <w:rFonts w:eastAsia="Times New Roman"/>
          <w:b/>
          <w:sz w:val="20"/>
          <w:szCs w:val="20"/>
          <w:lang w:eastAsia="en-GB"/>
        </w:rPr>
        <w:t>STROBE-MR checklist of recommended items to address in reports of Mendelian randomization studies</w:t>
      </w:r>
      <w:r>
        <w:rPr>
          <w:rFonts w:eastAsia="Times New Roman"/>
          <w:b/>
          <w:sz w:val="20"/>
          <w:szCs w:val="20"/>
          <w:lang w:eastAsia="en-GB"/>
        </w:rPr>
        <w:fldChar w:fldCharType="begin" w:fldLock="1"/>
      </w:r>
      <w:r>
        <w:rPr>
          <w:rFonts w:eastAsia="Times New Roman"/>
          <w:b/>
          <w:sz w:val="20"/>
          <w:szCs w:val="20"/>
          <w:lang w:eastAsia="en-GB"/>
        </w:rPr>
        <w:instrText xml:space="preserve">ADDIN CSL_CITATION {"citationItems":[{"id":"ITEM-1","itemData":{"author":[{"dropping-particle":"","family":"Skrivankova","given":"V W","non-dropping-particle":"","parse-names":false,"suffix":""},{"dropping-particle":"","family":"Richmond","given":"R C","non-dropping-particle":"","parse-names":false,"suffix":""},{"dropping-particle":"","family":"Woolf","given":"B A R","non-dropping-particle":"","parse-names":false,"suffix":""},{"dropping-particle":"","family":"Yarmolinsky","given":"J","non-dropping-particle":"","parse-names":false,"suffix":""},{"dropping-particle":"","family":"Davies","given":"N M","non-dropping-particle":"","parse-names":false,"suffix":""},{"dropping-particle":"","family":"Swanson","given":"S A","non-dropping-particle":"","parse-names":false,"suffix":""},{"dropping-particle":"","family":"VanderWeele","given":"T J","non-dropping-particle":"","parse-names":false,"suffix":""},{"dropping-particle":"","family":"Higgins","given":"J P H","non-dropping-particle":"","parse-names":false,"suffix":""},{"dropping-particle":"","family":"Timpson","given":"N J","non-dropping-particle":"","parse-names":false,"suffix":""},{"dropping-particle":"","family":"Dimou","given":"N","non-dropping-particle":"","parse-names":false,"suffix":""},{"dropping-particle":"","family":"Langenberg","given":"C","non-dropping-particle":"","parse-names":false,"suffix":""},{"dropping-particle":"","family":"Loder","given":"E W","non-dropping-particle":"","parse-names":false,"suffix":""},{"dropping-particle":"","family":"Golub","given":"R","non-dropping-particle":"","parse-names":false,"suffix":""},{"dropping-particle":"","family":"Gallo","given":"V","non-dropping-particle":"","parse-names":false,"suffix":""},{"dropping-particle":"","family":"Tybjaerg-Hansen","given":"A","non-dropping-particle":"","parse-names":false,"suffix":""},{"dropping-particle":"","family":"Davey Smith","given":"G","non-dropping-particle":"","parse-names":false,"suffix":""},{"dropping-particle":"","family":"Egger","given":"M","non-dropping-particle":"","parse-names":false,"suffix":""},{"dropping-particle":"","family":"Richards","given":"J B","non-dropping-particle":"","parse-names":false,"suffix":""}],"container-title":"JAMA","id":"ITEM-1","issued":{"date-parts":[["2021"]]},"page":"under review","title":"Strengthening the Reporting of Observational Studies in Epidemiology using Mendelian Randomization (STROBE-MR) Statement","type":"article-journal"},"uris":["http://www.mendeley.com/documents/?uuid=29dd9aa2-14fd-450b-83fb-4c6b74b75061"]}],"mendeley":{"formattedCitation":"&lt;sup&gt;1&lt;/sup&gt;","plainTextFormattedCitation":"1"},"properties":{"noteIndex":0},"schema":"https://github.com/citation-style-language/schema/raw/master/csl-citation.json"}</w:instrText>
      </w:r>
      <w:r>
        <w:rPr>
          <w:rFonts w:eastAsia="Times New Roman"/>
          <w:b/>
          <w:sz w:val="20"/>
          <w:szCs w:val="20"/>
          <w:lang w:eastAsia="en-GB"/>
        </w:rPr>
        <w:fldChar w:fldCharType="separate"/>
      </w:r>
      <w:r>
        <w:rPr>
          <w:rFonts w:eastAsia="Times New Roman"/>
          <w:sz w:val="20"/>
          <w:szCs w:val="20"/>
          <w:vertAlign w:val="superscript"/>
          <w:lang w:eastAsia="en-GB"/>
        </w:rPr>
        <w:t>1</w:t>
      </w:r>
      <w:r>
        <w:rPr>
          <w:rFonts w:eastAsia="Times New Roman"/>
          <w:b/>
          <w:sz w:val="20"/>
          <w:szCs w:val="20"/>
          <w:lang w:eastAsia="en-GB"/>
        </w:rPr>
        <w:fldChar w:fldCharType="end"/>
      </w:r>
      <w:r>
        <w:rPr>
          <w:rFonts w:eastAsia="Times New Roman"/>
          <w:b/>
          <w:sz w:val="20"/>
          <w:szCs w:val="20"/>
          <w:lang w:eastAsia="en-GB"/>
        </w:rPr>
        <w:t xml:space="preserve"> </w:t>
      </w:r>
      <w:r>
        <w:rPr>
          <w:rFonts w:eastAsia="Times New Roman"/>
          <w:b/>
          <w:sz w:val="20"/>
          <w:szCs w:val="20"/>
          <w:lang w:eastAsia="en-GB"/>
        </w:rPr>
        <w:fldChar w:fldCharType="begin" w:fldLock="1"/>
      </w:r>
      <w:r>
        <w:rPr>
          <w:rFonts w:eastAsia="Times New Roman"/>
          <w:b/>
          <w:sz w:val="20"/>
          <w:szCs w:val="20"/>
          <w:lang w:eastAsia="en-GB"/>
        </w:rPr>
        <w:instrText xml:space="preserve">ADDIN CSL_CITATION {"citationItems":[{"id":"ITEM-1","itemData":{"author":[{"dropping-particle":"","family":"Skrivankova","given":"Veronika W","non-dropping-particle":"","parse-names":false,"suffix":""},{"dropping-particle":"","family":"Richmond","given":"Rebecca C","non-dropping-particle":"","parse-names":false,"suffix":""},{"dropping-particle":"","family":"Woolf","given":"Benjamin A R","non-dropping-particle":"","parse-names":false,"suffix":""},{"dropping-particle":"","family":"Davies","given":"Neil M","non-dropping-particle":"","parse-names":false,"suffix":""},{"dropping-particle":"","family":"Swanson","given":"Sonja A","non-dropping-particle":"","parse-names":false,"suffix":""},{"dropping-particle":"","family":"VanderWeele","given":"Tyler J","non-dropping-particle":"","parse-names":false,"suffix":""},{"dropping-particle":"","family":"Timpson","given":"Nicholas J","non-dropping-particle":"","parse-names":false,"suffix":""},{"dropping-particle":"","family":"Higgins","given":"Julian P T","non-dropping-particle":"","parse-names":false,"suffix":""},{"dropping-particle":"","family":"Dimou","given":"Niki","non-dropping-particle":"","parse-names":false,"suffix":""},{"dropping-particle":"","family":"Langenberg","given":"Claudia","non-dropping-particle":"","parse-names":false,"suffix":""},{"dropping-particle":"","family":"Loder","given":"Elizabeth W","non-dropping-particle":"","parse-names":false,"suffix":""},{"dropping-particle":"","family":"Golub","given":"Robert M","non-dropping-particle":"","parse-names":false,"suffix":""},{"dropping-particle":"","family":"Egger","given":"Mathias","non-dropping-particle":"","parse-names":false,"suffix":""},{"dropping-particle":"","family":"Davey Smith","given":"George","non-dropping-particle":"","parse-names":false,"suffix":""},{"dropping-particle":"","family":"Richards","given":"J Brent","non-dropping-particle":"","parse-names":false,"suffix":""}],"container-title":"BMJ","id":"ITEM-1","issued":{"date-parts":[["2021"]]},"title":"Strengthening the Reporting of Observational Studies in Epidemiology using Mendelian Randomisation (STROBE-MR): Explanation and Elaboration","type":"article-journal","volume":"375:n2233"},"uris":["http://www.mendeley.com/documents/?uuid=af64eb33-5308-4d72-bd7e-6fe0d8fe3570"]}],"mendeley":{"formattedCitation":"&lt;sup&gt;2&lt;/sup&gt;","plainTextFormattedCitation":"2","previouslyFormattedCitation":"&lt;sup&gt;1&lt;/sup&gt;"},"properties":{"noteIndex":0},"schema":"https://github.com/citation-style-language/schema/raw/master/csl-citation.json"}</w:instrText>
      </w:r>
      <w:r>
        <w:rPr>
          <w:rFonts w:eastAsia="Times New Roman"/>
          <w:b/>
          <w:sz w:val="20"/>
          <w:szCs w:val="20"/>
          <w:lang w:eastAsia="en-GB"/>
        </w:rPr>
        <w:fldChar w:fldCharType="separate"/>
      </w:r>
      <w:r>
        <w:rPr>
          <w:rFonts w:eastAsia="Times New Roman"/>
          <w:sz w:val="20"/>
          <w:szCs w:val="20"/>
          <w:vertAlign w:val="superscript"/>
          <w:lang w:eastAsia="en-GB"/>
        </w:rPr>
        <w:t>2</w:t>
      </w:r>
      <w:r>
        <w:rPr>
          <w:rFonts w:eastAsia="Times New Roman"/>
          <w:b/>
          <w:sz w:val="20"/>
          <w:szCs w:val="20"/>
          <w:lang w:eastAsia="en-GB"/>
        </w:rPr>
        <w:fldChar w:fldCharType="end"/>
      </w:r>
      <w:r>
        <w:rPr>
          <w:rFonts w:eastAsia="Times New Roman"/>
          <w:b/>
          <w:sz w:val="20"/>
          <w:szCs w:val="20"/>
          <w:lang w:eastAsia="en-GB"/>
        </w:rPr>
        <w:t> </w:t>
      </w:r>
    </w:p>
    <w:p w14:paraId="3EE539AD">
      <w:pPr>
        <w:rPr>
          <w:rFonts w:eastAsia="Times New Roman"/>
          <w:b/>
          <w:sz w:val="20"/>
          <w:szCs w:val="20"/>
          <w:lang w:eastAsia="en-GB"/>
        </w:rPr>
      </w:pPr>
    </w:p>
    <w:tbl>
      <w:tblPr>
        <w:tblStyle w:val="3"/>
        <w:tblW w:w="14490" w:type="dxa"/>
        <w:tblInd w:w="0" w:type="dxa"/>
        <w:tblLayout w:type="autofit"/>
        <w:tblCellMar>
          <w:top w:w="0" w:type="dxa"/>
          <w:left w:w="108" w:type="dxa"/>
          <w:bottom w:w="0" w:type="dxa"/>
          <w:right w:w="108" w:type="dxa"/>
        </w:tblCellMar>
      </w:tblPr>
      <w:tblGrid>
        <w:gridCol w:w="587"/>
        <w:gridCol w:w="1806"/>
        <w:gridCol w:w="6348"/>
        <w:gridCol w:w="711"/>
        <w:gridCol w:w="5038"/>
      </w:tblGrid>
      <w:tr w14:paraId="68BC94E2">
        <w:tblPrEx>
          <w:tblCellMar>
            <w:top w:w="0" w:type="dxa"/>
            <w:left w:w="108" w:type="dxa"/>
            <w:bottom w:w="0" w:type="dxa"/>
            <w:right w:w="108" w:type="dxa"/>
          </w:tblCellMar>
        </w:tblPrEx>
        <w:tc>
          <w:tcPr>
            <w:tcW w:w="587" w:type="dxa"/>
            <w:tcBorders>
              <w:top w:val="single" w:color="auto" w:sz="4" w:space="0"/>
              <w:bottom w:val="single" w:color="7F7F7F" w:sz="6" w:space="0"/>
            </w:tcBorders>
            <w:shd w:val="clear" w:color="auto" w:fill="auto"/>
          </w:tcPr>
          <w:p w14:paraId="00DEF8A5">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Item No.</w:t>
            </w:r>
          </w:p>
        </w:tc>
        <w:tc>
          <w:tcPr>
            <w:tcW w:w="1822" w:type="dxa"/>
            <w:tcBorders>
              <w:top w:val="single" w:color="auto" w:sz="4" w:space="0"/>
              <w:bottom w:val="single" w:color="7F7F7F" w:sz="6" w:space="0"/>
            </w:tcBorders>
            <w:shd w:val="clear" w:color="auto" w:fill="auto"/>
          </w:tcPr>
          <w:p w14:paraId="04F587D2">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Section</w:t>
            </w:r>
          </w:p>
        </w:tc>
        <w:tc>
          <w:tcPr>
            <w:tcW w:w="7041" w:type="dxa"/>
            <w:tcBorders>
              <w:top w:val="single" w:color="auto" w:sz="4" w:space="0"/>
              <w:bottom w:val="single" w:color="7F7F7F" w:sz="6" w:space="0"/>
            </w:tcBorders>
            <w:shd w:val="clear" w:color="auto" w:fill="auto"/>
          </w:tcPr>
          <w:p w14:paraId="5A682768">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 xml:space="preserve">Checklist item </w:t>
            </w:r>
          </w:p>
        </w:tc>
        <w:tc>
          <w:tcPr>
            <w:tcW w:w="720" w:type="dxa"/>
            <w:tcBorders>
              <w:top w:val="single" w:color="auto" w:sz="4" w:space="0"/>
              <w:bottom w:val="single" w:color="7F7F7F" w:sz="6" w:space="0"/>
            </w:tcBorders>
          </w:tcPr>
          <w:p w14:paraId="26D050FB">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Page No.</w:t>
            </w:r>
          </w:p>
        </w:tc>
        <w:tc>
          <w:tcPr>
            <w:tcW w:w="4320" w:type="dxa"/>
            <w:tcBorders>
              <w:top w:val="single" w:color="auto" w:sz="4" w:space="0"/>
              <w:bottom w:val="single" w:color="7F7F7F" w:sz="6" w:space="0"/>
            </w:tcBorders>
          </w:tcPr>
          <w:p w14:paraId="3B169EDD">
            <w:pPr>
              <w:spacing w:before="96" w:beforeLines="40" w:after="96" w:afterLines="40" w:line="24" w:lineRule="atLeast"/>
              <w:rPr>
                <w:rFonts w:eastAsia="Cambria"/>
                <w:b/>
                <w:bCs/>
                <w:sz w:val="18"/>
                <w:szCs w:val="18"/>
                <w:lang w:val="en-GB" w:eastAsia="en-US"/>
              </w:rPr>
            </w:pPr>
            <w:r>
              <w:rPr>
                <w:rFonts w:eastAsia="Cambria"/>
                <w:b/>
                <w:bCs/>
                <w:sz w:val="18"/>
                <w:szCs w:val="18"/>
                <w:lang w:val="en-GB" w:eastAsia="en-US"/>
              </w:rPr>
              <w:t>Relevant text from manuscript</w:t>
            </w:r>
          </w:p>
        </w:tc>
      </w:tr>
      <w:tr w14:paraId="6D71F361">
        <w:tblPrEx>
          <w:tblCellMar>
            <w:top w:w="0" w:type="dxa"/>
            <w:left w:w="108" w:type="dxa"/>
            <w:bottom w:w="0" w:type="dxa"/>
            <w:right w:w="108" w:type="dxa"/>
          </w:tblCellMar>
        </w:tblPrEx>
        <w:tc>
          <w:tcPr>
            <w:tcW w:w="587" w:type="dxa"/>
            <w:tcBorders>
              <w:top w:val="single" w:color="7F7F7F" w:sz="6" w:space="0"/>
              <w:bottom w:val="single" w:color="7F7F7F" w:sz="6" w:space="0"/>
            </w:tcBorders>
            <w:shd w:val="clear" w:color="auto" w:fill="EEEEEE"/>
          </w:tcPr>
          <w:p w14:paraId="25A8835C">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w:t>
            </w:r>
          </w:p>
        </w:tc>
        <w:tc>
          <w:tcPr>
            <w:tcW w:w="1822" w:type="dxa"/>
            <w:tcBorders>
              <w:top w:val="single" w:color="7F7F7F" w:sz="6" w:space="0"/>
              <w:bottom w:val="single" w:color="7F7F7F" w:sz="6" w:space="0"/>
            </w:tcBorders>
            <w:shd w:val="clear" w:color="auto" w:fill="EEEEEE"/>
          </w:tcPr>
          <w:p w14:paraId="4CC4316B">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TITLE and ABSTRACT</w:t>
            </w:r>
          </w:p>
        </w:tc>
        <w:tc>
          <w:tcPr>
            <w:tcW w:w="7041" w:type="dxa"/>
            <w:tcBorders>
              <w:top w:val="single" w:color="7F7F7F" w:sz="6" w:space="0"/>
              <w:bottom w:val="single" w:color="7F7F7F" w:sz="6" w:space="0"/>
            </w:tcBorders>
            <w:shd w:val="clear" w:color="auto" w:fill="EEEEEE"/>
          </w:tcPr>
          <w:p w14:paraId="1DA8BD46">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Indicate Mendelian randomization (MR) as the study’s design in the title and/or the abstract if that is a main purpose of the study</w:t>
            </w:r>
          </w:p>
        </w:tc>
        <w:tc>
          <w:tcPr>
            <w:tcW w:w="720" w:type="dxa"/>
            <w:tcBorders>
              <w:top w:val="single" w:color="7F7F7F" w:sz="6" w:space="0"/>
              <w:bottom w:val="single" w:color="7F7F7F" w:sz="6" w:space="0"/>
            </w:tcBorders>
            <w:shd w:val="clear" w:color="auto" w:fill="EEEEEE"/>
          </w:tcPr>
          <w:p w14:paraId="428F187D">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1-2</w:t>
            </w:r>
          </w:p>
        </w:tc>
        <w:tc>
          <w:tcPr>
            <w:tcW w:w="4320" w:type="dxa"/>
            <w:tcBorders>
              <w:top w:val="single" w:color="7F7F7F" w:sz="6" w:space="0"/>
              <w:bottom w:val="single" w:color="7F7F7F" w:sz="6" w:space="0"/>
            </w:tcBorders>
            <w:shd w:val="clear" w:color="auto" w:fill="EEEEEE"/>
          </w:tcPr>
          <w:p w14:paraId="619E225D">
            <w:pPr>
              <w:spacing w:before="96" w:beforeLines="40" w:after="96" w:afterLines="40" w:line="24" w:lineRule="atLeast"/>
              <w:rPr>
                <w:rFonts w:hint="eastAsia" w:eastAsia="宋体"/>
                <w:sz w:val="18"/>
                <w:szCs w:val="18"/>
                <w:lang w:val="en-US" w:eastAsia="zh-CN"/>
              </w:rPr>
            </w:pPr>
            <w:r>
              <w:rPr>
                <w:rFonts w:hint="default" w:eastAsia="宋体"/>
                <w:sz w:val="18"/>
                <w:szCs w:val="18"/>
                <w:lang w:val="en-US" w:eastAsia="zh-CN"/>
              </w:rPr>
              <w:t>“</w:t>
            </w:r>
            <w:r>
              <w:rPr>
                <w:rFonts w:hint="eastAsia" w:eastAsia="Times New Roman"/>
                <w:sz w:val="18"/>
                <w:szCs w:val="18"/>
                <w:lang w:val="en-GB" w:eastAsia="en-GB"/>
              </w:rPr>
              <w:t>Causal Relationship between Chronic Gastritis and Sleep Apnea Syndrome: A Bidirectional and Two-step Mendelian Randomization Study</w:t>
            </w:r>
            <w:r>
              <w:rPr>
                <w:rFonts w:hint="default" w:eastAsia="宋体"/>
                <w:sz w:val="18"/>
                <w:szCs w:val="18"/>
                <w:lang w:val="en-US" w:eastAsia="zh-CN"/>
              </w:rPr>
              <w:t>”</w:t>
            </w:r>
            <w:r>
              <w:rPr>
                <w:rFonts w:hint="eastAsia" w:eastAsia="宋体"/>
                <w:sz w:val="18"/>
                <w:szCs w:val="18"/>
                <w:lang w:val="en-US" w:eastAsia="zh-CN"/>
              </w:rPr>
              <w:t xml:space="preserve"> this study describes the study as MR in both the title and the abstractThis study describes the study as MR in both the title and the abstract.</w:t>
            </w:r>
          </w:p>
        </w:tc>
      </w:tr>
      <w:tr w14:paraId="641E6A58">
        <w:tblPrEx>
          <w:tblCellMar>
            <w:top w:w="0" w:type="dxa"/>
            <w:left w:w="108" w:type="dxa"/>
            <w:bottom w:w="0" w:type="dxa"/>
            <w:right w:w="108" w:type="dxa"/>
          </w:tblCellMar>
        </w:tblPrEx>
        <w:tc>
          <w:tcPr>
            <w:tcW w:w="587" w:type="dxa"/>
            <w:tcBorders>
              <w:top w:val="single" w:color="7F7F7F" w:sz="6" w:space="0"/>
            </w:tcBorders>
            <w:shd w:val="clear" w:color="auto" w:fill="auto"/>
          </w:tcPr>
          <w:p w14:paraId="4792BEFB">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shd w:val="clear" w:color="auto" w:fill="auto"/>
          </w:tcPr>
          <w:p w14:paraId="63B58F01">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INTRODUCTION</w:t>
            </w:r>
          </w:p>
        </w:tc>
        <w:tc>
          <w:tcPr>
            <w:tcW w:w="7041" w:type="dxa"/>
            <w:tcBorders>
              <w:top w:val="single" w:color="7F7F7F" w:sz="6" w:space="0"/>
            </w:tcBorders>
            <w:shd w:val="clear" w:color="auto" w:fill="auto"/>
          </w:tcPr>
          <w:p w14:paraId="473C01D0">
            <w:pPr>
              <w:spacing w:before="96" w:beforeLines="40" w:after="96" w:afterLines="40" w:line="24" w:lineRule="atLeast"/>
              <w:rPr>
                <w:rFonts w:eastAsia="Cambria"/>
                <w:sz w:val="18"/>
                <w:szCs w:val="18"/>
                <w:lang w:val="en-GB" w:eastAsia="en-US"/>
              </w:rPr>
            </w:pPr>
          </w:p>
        </w:tc>
        <w:tc>
          <w:tcPr>
            <w:tcW w:w="720" w:type="dxa"/>
            <w:tcBorders>
              <w:top w:val="single" w:color="7F7F7F" w:sz="6" w:space="0"/>
            </w:tcBorders>
          </w:tcPr>
          <w:p w14:paraId="6681F500">
            <w:pPr>
              <w:spacing w:before="96" w:beforeLines="40" w:after="96" w:afterLines="40" w:line="24" w:lineRule="atLeast"/>
              <w:rPr>
                <w:rFonts w:eastAsia="Cambria"/>
                <w:sz w:val="18"/>
                <w:szCs w:val="18"/>
                <w:lang w:val="en-GB" w:eastAsia="en-US"/>
              </w:rPr>
            </w:pPr>
          </w:p>
        </w:tc>
        <w:tc>
          <w:tcPr>
            <w:tcW w:w="4320" w:type="dxa"/>
            <w:tcBorders>
              <w:top w:val="single" w:color="7F7F7F" w:sz="6" w:space="0"/>
            </w:tcBorders>
          </w:tcPr>
          <w:p w14:paraId="7A6DC6E9">
            <w:pPr>
              <w:spacing w:before="96" w:beforeLines="40" w:after="96" w:afterLines="40" w:line="24" w:lineRule="atLeast"/>
              <w:rPr>
                <w:rFonts w:eastAsia="Cambria"/>
                <w:sz w:val="18"/>
                <w:szCs w:val="18"/>
                <w:lang w:val="en-GB" w:eastAsia="en-US"/>
              </w:rPr>
            </w:pPr>
          </w:p>
        </w:tc>
      </w:tr>
      <w:tr w14:paraId="7DB622D8">
        <w:tblPrEx>
          <w:tblCellMar>
            <w:top w:w="0" w:type="dxa"/>
            <w:left w:w="108" w:type="dxa"/>
            <w:bottom w:w="0" w:type="dxa"/>
            <w:right w:w="108" w:type="dxa"/>
          </w:tblCellMar>
        </w:tblPrEx>
        <w:tc>
          <w:tcPr>
            <w:tcW w:w="587" w:type="dxa"/>
            <w:shd w:val="clear" w:color="auto" w:fill="EEEEEE"/>
          </w:tcPr>
          <w:p w14:paraId="7DE28D61">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2</w:t>
            </w:r>
          </w:p>
        </w:tc>
        <w:tc>
          <w:tcPr>
            <w:tcW w:w="1822" w:type="dxa"/>
            <w:shd w:val="clear" w:color="auto" w:fill="EEEEEE"/>
          </w:tcPr>
          <w:p w14:paraId="7756B327">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Background</w:t>
            </w:r>
          </w:p>
        </w:tc>
        <w:tc>
          <w:tcPr>
            <w:tcW w:w="7041" w:type="dxa"/>
            <w:shd w:val="clear" w:color="auto" w:fill="EEEEEE"/>
          </w:tcPr>
          <w:p w14:paraId="5423D52E">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Explain the scientific background and rationale for the reported study. What is the exposure? Is a potential causal relationship between exposure and outcome plausible? Justify why MR is a helpful method to address the study question</w:t>
            </w:r>
          </w:p>
        </w:tc>
        <w:tc>
          <w:tcPr>
            <w:tcW w:w="720" w:type="dxa"/>
            <w:shd w:val="clear" w:color="auto" w:fill="EEEEEE"/>
          </w:tcPr>
          <w:p w14:paraId="460FB29C">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2-3</w:t>
            </w:r>
          </w:p>
        </w:tc>
        <w:tc>
          <w:tcPr>
            <w:tcW w:w="4320" w:type="dxa"/>
            <w:shd w:val="clear" w:color="auto" w:fill="EEEEEE"/>
          </w:tcPr>
          <w:p w14:paraId="5D990A22">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article is a two-way Mendelian randomization for chronic gastritis and Sleep Apnea Syndrome (SAS)</w:t>
            </w:r>
            <w:r>
              <w:rPr>
                <w:rFonts w:hint="eastAsia" w:eastAsia="宋体"/>
                <w:sz w:val="18"/>
                <w:szCs w:val="18"/>
                <w:lang w:val="en-US" w:eastAsia="zh-CN"/>
              </w:rPr>
              <w:t xml:space="preserve">. </w:t>
            </w:r>
            <w:r>
              <w:rPr>
                <w:rFonts w:hint="eastAsia" w:eastAsia="Times New Roman"/>
                <w:sz w:val="18"/>
                <w:szCs w:val="18"/>
                <w:lang w:val="en-GB" w:eastAsia="en-GB"/>
              </w:rPr>
              <w:t>The intersection of these two conditions presents a fascinating area of study, with potential implications for the diagnosis and management of both disorders.Despite the increasing prevalence of SAS and the well-documented impact of sleep disorders on gastrointestinal health, the specific mechanisms linking SAS to chronic gastritis remain poorly understood.</w:t>
            </w:r>
          </w:p>
        </w:tc>
      </w:tr>
      <w:tr w14:paraId="7907A3D3">
        <w:tblPrEx>
          <w:tblCellMar>
            <w:top w:w="0" w:type="dxa"/>
            <w:left w:w="108" w:type="dxa"/>
            <w:bottom w:w="0" w:type="dxa"/>
            <w:right w:w="108" w:type="dxa"/>
          </w:tblCellMar>
        </w:tblPrEx>
        <w:tc>
          <w:tcPr>
            <w:tcW w:w="587" w:type="dxa"/>
            <w:tcBorders>
              <w:bottom w:val="single" w:color="7F7F7F" w:sz="6" w:space="0"/>
            </w:tcBorders>
            <w:shd w:val="clear" w:color="auto" w:fill="auto"/>
          </w:tcPr>
          <w:p w14:paraId="4F63B034">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3</w:t>
            </w:r>
          </w:p>
        </w:tc>
        <w:tc>
          <w:tcPr>
            <w:tcW w:w="1822" w:type="dxa"/>
            <w:tcBorders>
              <w:bottom w:val="single" w:color="7F7F7F" w:sz="6" w:space="0"/>
            </w:tcBorders>
            <w:shd w:val="clear" w:color="auto" w:fill="auto"/>
          </w:tcPr>
          <w:p w14:paraId="3E6B9EEC">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Objectives</w:t>
            </w:r>
          </w:p>
        </w:tc>
        <w:tc>
          <w:tcPr>
            <w:tcW w:w="7041" w:type="dxa"/>
            <w:tcBorders>
              <w:bottom w:val="single" w:color="7F7F7F" w:sz="6" w:space="0"/>
            </w:tcBorders>
            <w:shd w:val="clear" w:color="auto" w:fill="auto"/>
          </w:tcPr>
          <w:p w14:paraId="41BC8A04">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State specific objectives clearly, including pre-specified causal hypotheses (if any). State that MR is a method that, under specific assumptions, intends to estimate causal effects</w:t>
            </w:r>
          </w:p>
        </w:tc>
        <w:tc>
          <w:tcPr>
            <w:tcW w:w="720" w:type="dxa"/>
            <w:tcBorders>
              <w:bottom w:val="single" w:color="7F7F7F" w:sz="6" w:space="0"/>
            </w:tcBorders>
          </w:tcPr>
          <w:p w14:paraId="2294F6C5">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3</w:t>
            </w:r>
          </w:p>
        </w:tc>
        <w:tc>
          <w:tcPr>
            <w:tcW w:w="4320" w:type="dxa"/>
            <w:tcBorders>
              <w:bottom w:val="single" w:color="7F7F7F" w:sz="6" w:space="0"/>
            </w:tcBorders>
          </w:tcPr>
          <w:p w14:paraId="11250836">
            <w:pPr>
              <w:spacing w:before="96" w:beforeLines="40" w:after="96" w:afterLines="40" w:line="24" w:lineRule="atLeast"/>
              <w:rPr>
                <w:rFonts w:hint="default" w:eastAsia="宋体"/>
                <w:sz w:val="18"/>
                <w:szCs w:val="18"/>
                <w:lang w:val="en-US" w:eastAsia="zh-CN"/>
              </w:rPr>
            </w:pPr>
            <w:r>
              <w:rPr>
                <w:rFonts w:hint="eastAsia" w:eastAsia="Times New Roman"/>
                <w:sz w:val="18"/>
                <w:szCs w:val="18"/>
                <w:lang w:val="en-GB" w:eastAsia="en-GB"/>
              </w:rPr>
              <w:t>This research aims to investigate the causal relationship between SAS and chronic gastritis. By elucidating the mechanisms connecting SAS and chronic gastritis, it may contribute to understanding the pathogenesis and progression of the disease, as well as identifying potential biomarkers and treatment strategies</w:t>
            </w:r>
            <w:r>
              <w:rPr>
                <w:rFonts w:hint="eastAsia" w:eastAsia="宋体"/>
                <w:sz w:val="18"/>
                <w:szCs w:val="18"/>
                <w:lang w:val="en-US" w:eastAsia="zh-CN"/>
              </w:rPr>
              <w:t xml:space="preserve">. </w:t>
            </w:r>
          </w:p>
        </w:tc>
      </w:tr>
      <w:tr w14:paraId="59599383">
        <w:tblPrEx>
          <w:tblCellMar>
            <w:top w:w="0" w:type="dxa"/>
            <w:left w:w="108" w:type="dxa"/>
            <w:bottom w:w="0" w:type="dxa"/>
            <w:right w:w="108" w:type="dxa"/>
          </w:tblCellMar>
        </w:tblPrEx>
        <w:tc>
          <w:tcPr>
            <w:tcW w:w="587" w:type="dxa"/>
            <w:tcBorders>
              <w:top w:val="single" w:color="7F7F7F" w:sz="6" w:space="0"/>
            </w:tcBorders>
            <w:shd w:val="clear" w:color="auto" w:fill="EEEEEE"/>
          </w:tcPr>
          <w:p w14:paraId="3524D6D4">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shd w:val="clear" w:color="auto" w:fill="EEEEEE"/>
          </w:tcPr>
          <w:p w14:paraId="6152628C">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METHODS</w:t>
            </w:r>
          </w:p>
        </w:tc>
        <w:tc>
          <w:tcPr>
            <w:tcW w:w="7041" w:type="dxa"/>
            <w:tcBorders>
              <w:top w:val="single" w:color="7F7F7F" w:sz="6" w:space="0"/>
            </w:tcBorders>
            <w:shd w:val="clear" w:color="auto" w:fill="EEEEEE"/>
          </w:tcPr>
          <w:p w14:paraId="309B8567">
            <w:pPr>
              <w:spacing w:before="96" w:beforeLines="40" w:after="96" w:afterLines="40" w:line="24" w:lineRule="atLeast"/>
              <w:rPr>
                <w:rFonts w:eastAsia="Cambria"/>
                <w:sz w:val="18"/>
                <w:szCs w:val="18"/>
                <w:lang w:val="en-GB" w:eastAsia="en-US"/>
              </w:rPr>
            </w:pPr>
          </w:p>
        </w:tc>
        <w:tc>
          <w:tcPr>
            <w:tcW w:w="720" w:type="dxa"/>
            <w:tcBorders>
              <w:top w:val="single" w:color="7F7F7F" w:sz="6" w:space="0"/>
            </w:tcBorders>
            <w:shd w:val="clear" w:color="auto" w:fill="EEEEEE"/>
          </w:tcPr>
          <w:p w14:paraId="2FFEF450">
            <w:pPr>
              <w:spacing w:before="96" w:beforeLines="40" w:after="96" w:afterLines="40" w:line="24" w:lineRule="atLeast"/>
              <w:rPr>
                <w:rFonts w:eastAsia="Cambria"/>
                <w:sz w:val="18"/>
                <w:szCs w:val="18"/>
                <w:lang w:val="en-GB" w:eastAsia="en-US"/>
              </w:rPr>
            </w:pPr>
          </w:p>
        </w:tc>
        <w:tc>
          <w:tcPr>
            <w:tcW w:w="4320" w:type="dxa"/>
            <w:tcBorders>
              <w:top w:val="single" w:color="7F7F7F" w:sz="6" w:space="0"/>
            </w:tcBorders>
            <w:shd w:val="clear" w:color="auto" w:fill="EEEEEE"/>
          </w:tcPr>
          <w:p w14:paraId="6CB9315A">
            <w:pPr>
              <w:spacing w:before="96" w:beforeLines="40" w:after="96" w:afterLines="40" w:line="24" w:lineRule="atLeast"/>
              <w:rPr>
                <w:rFonts w:eastAsia="Cambria"/>
                <w:sz w:val="18"/>
                <w:szCs w:val="18"/>
                <w:lang w:val="en-GB" w:eastAsia="en-US"/>
              </w:rPr>
            </w:pPr>
          </w:p>
        </w:tc>
      </w:tr>
      <w:tr w14:paraId="6440155E">
        <w:tblPrEx>
          <w:tblCellMar>
            <w:top w:w="0" w:type="dxa"/>
            <w:left w:w="108" w:type="dxa"/>
            <w:bottom w:w="0" w:type="dxa"/>
            <w:right w:w="108" w:type="dxa"/>
          </w:tblCellMar>
        </w:tblPrEx>
        <w:tc>
          <w:tcPr>
            <w:tcW w:w="587" w:type="dxa"/>
            <w:shd w:val="clear" w:color="auto" w:fill="auto"/>
          </w:tcPr>
          <w:p w14:paraId="5C7CF349">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4</w:t>
            </w:r>
          </w:p>
        </w:tc>
        <w:tc>
          <w:tcPr>
            <w:tcW w:w="1822" w:type="dxa"/>
            <w:shd w:val="clear" w:color="auto" w:fill="auto"/>
          </w:tcPr>
          <w:p w14:paraId="408E2A89">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Study design and data sources</w:t>
            </w:r>
          </w:p>
        </w:tc>
        <w:tc>
          <w:tcPr>
            <w:tcW w:w="7041" w:type="dxa"/>
            <w:shd w:val="clear" w:color="auto" w:fill="auto"/>
          </w:tcPr>
          <w:p w14:paraId="29029CA4">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Present key elements of the study design early in the article. Consider including a table listing sources of data for all phases of the study. For each data source contributing to the analysis, describe the following: </w:t>
            </w:r>
          </w:p>
        </w:tc>
        <w:tc>
          <w:tcPr>
            <w:tcW w:w="720" w:type="dxa"/>
          </w:tcPr>
          <w:p w14:paraId="0E181C75">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4</w:t>
            </w:r>
          </w:p>
        </w:tc>
        <w:tc>
          <w:tcPr>
            <w:tcW w:w="4320" w:type="dxa"/>
          </w:tcPr>
          <w:p w14:paraId="23CE0AC6">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 xml:space="preserve">The article describes the use of genome-wide association </w:t>
            </w:r>
            <w:r>
              <w:rPr>
                <w:rFonts w:hint="eastAsia" w:eastAsia="宋体"/>
                <w:sz w:val="18"/>
                <w:szCs w:val="18"/>
                <w:lang w:val="en-US" w:eastAsia="zh-CN"/>
              </w:rPr>
              <w:t>studies（GWAS）</w:t>
            </w:r>
            <w:r>
              <w:rPr>
                <w:rFonts w:hint="eastAsia" w:eastAsia="Times New Roman"/>
                <w:sz w:val="18"/>
                <w:szCs w:val="18"/>
                <w:lang w:val="en-GB" w:eastAsia="en-GB"/>
              </w:rPr>
              <w:t xml:space="preserve"> from the Finn</w:t>
            </w:r>
            <w:r>
              <w:rPr>
                <w:rFonts w:hint="eastAsia" w:eastAsia="宋体"/>
                <w:sz w:val="18"/>
                <w:szCs w:val="18"/>
                <w:lang w:val="en-US" w:eastAsia="zh-CN"/>
              </w:rPr>
              <w:t>Gen</w:t>
            </w:r>
            <w:r>
              <w:rPr>
                <w:rFonts w:hint="eastAsia" w:eastAsia="Times New Roman"/>
                <w:sz w:val="18"/>
                <w:szCs w:val="18"/>
                <w:lang w:val="en-GB" w:eastAsia="en-GB"/>
              </w:rPr>
              <w:t xml:space="preserve"> Biospecimen Database and the </w:t>
            </w:r>
            <w:r>
              <w:rPr>
                <w:rFonts w:hint="eastAsia" w:eastAsia="宋体"/>
                <w:sz w:val="18"/>
                <w:szCs w:val="18"/>
                <w:lang w:val="en-US" w:eastAsia="zh-CN"/>
              </w:rPr>
              <w:t>catalog</w:t>
            </w:r>
            <w:r>
              <w:rPr>
                <w:rFonts w:hint="eastAsia" w:eastAsia="Times New Roman"/>
                <w:sz w:val="18"/>
                <w:szCs w:val="18"/>
                <w:lang w:val="en-GB" w:eastAsia="en-GB"/>
              </w:rPr>
              <w:t xml:space="preserve"> Biospecimen Library in the data sources, and does not present the data information in a table</w:t>
            </w:r>
            <w:r>
              <w:rPr>
                <w:rFonts w:hint="eastAsia" w:eastAsia="宋体"/>
                <w:sz w:val="18"/>
                <w:szCs w:val="18"/>
                <w:lang w:val="en-US" w:eastAsia="zh-CN"/>
              </w:rPr>
              <w:t>.</w:t>
            </w:r>
          </w:p>
        </w:tc>
      </w:tr>
      <w:tr w14:paraId="47D5AE21">
        <w:tblPrEx>
          <w:tblCellMar>
            <w:top w:w="0" w:type="dxa"/>
            <w:left w:w="108" w:type="dxa"/>
            <w:bottom w:w="0" w:type="dxa"/>
            <w:right w:w="108" w:type="dxa"/>
          </w:tblCellMar>
        </w:tblPrEx>
        <w:trPr>
          <w:trHeight w:val="90" w:hRule="atLeast"/>
        </w:trPr>
        <w:tc>
          <w:tcPr>
            <w:tcW w:w="587" w:type="dxa"/>
            <w:shd w:val="clear" w:color="auto" w:fill="EEEEEE"/>
          </w:tcPr>
          <w:p w14:paraId="0980B688">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9E72ACB">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EEEEEE"/>
          </w:tcPr>
          <w:p w14:paraId="246167BE">
            <w:pPr>
              <w:spacing w:before="96" w:beforeLines="40" w:after="96" w:afterLines="40" w:line="24" w:lineRule="atLeast"/>
              <w:rPr>
                <w:rFonts w:eastAsia="Cambria"/>
                <w:sz w:val="18"/>
                <w:szCs w:val="18"/>
                <w:lang w:val="en-GB" w:eastAsia="en-US"/>
              </w:rPr>
            </w:pPr>
            <w:r>
              <w:rPr>
                <w:rFonts w:eastAsia="Times New Roman"/>
                <w:sz w:val="18"/>
                <w:szCs w:val="18"/>
                <w:shd w:val="clear" w:color="auto" w:fill="FFFFFF"/>
                <w:lang w:val="en-GB" w:eastAsia="en-GB"/>
              </w:rPr>
              <w:t xml:space="preserve">Setting: </w:t>
            </w:r>
            <w:r>
              <w:rPr>
                <w:rFonts w:eastAsia="Times New Roman"/>
                <w:sz w:val="18"/>
                <w:szCs w:val="18"/>
                <w:lang w:val="en-GB" w:eastAsia="en-GB"/>
              </w:rPr>
              <w:t xml:space="preserve">Describe the study design and the underlying population, if possible. </w:t>
            </w:r>
            <w:r>
              <w:rPr>
                <w:rFonts w:eastAsia="Times New Roman"/>
                <w:sz w:val="18"/>
                <w:szCs w:val="18"/>
                <w:shd w:val="clear" w:color="auto" w:fill="FFFFFF"/>
                <w:lang w:val="en-GB" w:eastAsia="en-GB"/>
              </w:rPr>
              <w:t xml:space="preserve">Describe the setting, locations, and relevant dates, including periods </w:t>
            </w:r>
            <w:r>
              <w:rPr>
                <w:rFonts w:eastAsia="Times New Roman"/>
                <w:color w:val="000000"/>
                <w:sz w:val="18"/>
                <w:szCs w:val="18"/>
                <w:shd w:val="clear" w:color="auto" w:fill="FFFFFF"/>
                <w:lang w:val="en-GB" w:eastAsia="en-GB"/>
              </w:rPr>
              <w:t>of recruitment, exposure, follow-up, and data collection, when available.</w:t>
            </w:r>
          </w:p>
        </w:tc>
        <w:tc>
          <w:tcPr>
            <w:tcW w:w="720" w:type="dxa"/>
            <w:shd w:val="clear" w:color="auto" w:fill="EEEEEE"/>
          </w:tcPr>
          <w:p w14:paraId="048ED5CF">
            <w:pPr>
              <w:spacing w:before="96" w:beforeLines="40" w:after="96" w:afterLines="40" w:line="24" w:lineRule="atLeast"/>
              <w:rPr>
                <w:rFonts w:hint="eastAsia" w:eastAsia="宋体"/>
                <w:sz w:val="18"/>
                <w:szCs w:val="18"/>
                <w:shd w:val="clear" w:color="auto" w:fill="FFFFFF"/>
                <w:lang w:val="en-US" w:eastAsia="zh-CN"/>
              </w:rPr>
            </w:pPr>
            <w:r>
              <w:rPr>
                <w:rFonts w:hint="eastAsia" w:eastAsia="宋体"/>
                <w:sz w:val="18"/>
                <w:szCs w:val="18"/>
                <w:shd w:val="clear" w:color="auto" w:fill="FFFFFF"/>
                <w:lang w:val="en-US" w:eastAsia="zh-CN"/>
              </w:rPr>
              <w:t>4</w:t>
            </w:r>
          </w:p>
        </w:tc>
        <w:tc>
          <w:tcPr>
            <w:tcW w:w="4320" w:type="dxa"/>
            <w:shd w:val="clear" w:color="auto" w:fill="EEEEEE"/>
          </w:tcPr>
          <w:p w14:paraId="33F4171D">
            <w:pPr>
              <w:spacing w:before="96" w:beforeLines="40" w:after="96" w:afterLines="40" w:line="24" w:lineRule="atLeast"/>
              <w:rPr>
                <w:rFonts w:eastAsia="Times New Roman"/>
                <w:sz w:val="18"/>
                <w:szCs w:val="18"/>
                <w:shd w:val="clear" w:color="auto" w:fill="FFFFFF"/>
                <w:lang w:val="en-GB" w:eastAsia="en-GB"/>
              </w:rPr>
            </w:pPr>
            <w:r>
              <w:rPr>
                <w:rFonts w:hint="eastAsia" w:eastAsia="宋体"/>
                <w:sz w:val="18"/>
                <w:szCs w:val="18"/>
                <w:shd w:val="clear" w:color="auto" w:fill="FFFFFF"/>
                <w:lang w:val="en-US" w:eastAsia="zh-CN"/>
              </w:rPr>
              <w:t>The article describes information about the use of the Finnish Biobank and the IE Biobank in the data sources, including when the samples were collected, the study site, and the study population.The article describes information about the use of the Finnish Biobank and the IE Biobank in the data sources, including when the samples were collected, the study site(United Kingdom and Finland), and the study population(European origin).</w:t>
            </w:r>
          </w:p>
        </w:tc>
      </w:tr>
      <w:tr w14:paraId="376A6F82">
        <w:tblPrEx>
          <w:tblCellMar>
            <w:top w:w="0" w:type="dxa"/>
            <w:left w:w="108" w:type="dxa"/>
            <w:bottom w:w="0" w:type="dxa"/>
            <w:right w:w="108" w:type="dxa"/>
          </w:tblCellMar>
        </w:tblPrEx>
        <w:tc>
          <w:tcPr>
            <w:tcW w:w="587" w:type="dxa"/>
            <w:shd w:val="clear" w:color="auto" w:fill="auto"/>
          </w:tcPr>
          <w:p w14:paraId="6B85F41D">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0CF2EB5C">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auto"/>
          </w:tcPr>
          <w:p w14:paraId="5E3BCE69">
            <w:pPr>
              <w:spacing w:before="96" w:beforeLines="40" w:after="96" w:afterLines="40" w:line="24" w:lineRule="atLeast"/>
              <w:textAlignment w:val="baseline"/>
              <w:rPr>
                <w:rFonts w:eastAsia="Cambria"/>
                <w:sz w:val="18"/>
                <w:szCs w:val="18"/>
                <w:lang w:val="en-GB" w:eastAsia="en-US"/>
              </w:rPr>
            </w:pPr>
            <w:r>
              <w:rPr>
                <w:rFonts w:eastAsia="Times New Roman"/>
                <w:sz w:val="18"/>
                <w:szCs w:val="18"/>
                <w:shd w:val="clear" w:color="auto" w:fill="FFFFFF"/>
                <w:lang w:val="en-GB" w:eastAsia="en-GB"/>
              </w:rPr>
              <w:t xml:space="preserve">Participants: Give the eligibility criteria, and the sources and methods of selection of participants. </w:t>
            </w:r>
            <w:r>
              <w:rPr>
                <w:rFonts w:eastAsia="Times New Roman"/>
                <w:color w:val="000000"/>
                <w:sz w:val="18"/>
                <w:szCs w:val="18"/>
              </w:rPr>
              <w:t>Report the sample size, and whether any power or sample size calculations were carried out prior to the main analysis</w:t>
            </w:r>
            <w:r>
              <w:rPr>
                <w:rFonts w:eastAsia="Times New Roman"/>
                <w:sz w:val="18"/>
                <w:szCs w:val="18"/>
                <w:lang w:val="en-GB" w:eastAsia="en-GB"/>
              </w:rPr>
              <w:t> </w:t>
            </w:r>
          </w:p>
        </w:tc>
        <w:tc>
          <w:tcPr>
            <w:tcW w:w="720" w:type="dxa"/>
          </w:tcPr>
          <w:p w14:paraId="29ACC32C">
            <w:pPr>
              <w:spacing w:before="96" w:beforeLines="40" w:after="96" w:afterLines="40" w:line="24" w:lineRule="atLeast"/>
              <w:textAlignment w:val="baseline"/>
              <w:rPr>
                <w:rFonts w:hint="default" w:eastAsia="宋体"/>
                <w:sz w:val="18"/>
                <w:szCs w:val="18"/>
                <w:shd w:val="clear" w:color="auto" w:fill="FFFFFF"/>
                <w:lang w:val="en-US" w:eastAsia="zh-CN"/>
              </w:rPr>
            </w:pPr>
            <w:r>
              <w:rPr>
                <w:rFonts w:hint="eastAsia" w:eastAsia="宋体"/>
                <w:sz w:val="18"/>
                <w:szCs w:val="18"/>
                <w:shd w:val="clear" w:color="auto" w:fill="FFFFFF"/>
                <w:lang w:val="en-US" w:eastAsia="zh-CN"/>
              </w:rPr>
              <w:t>4</w:t>
            </w:r>
          </w:p>
        </w:tc>
        <w:tc>
          <w:tcPr>
            <w:tcW w:w="4320" w:type="dxa"/>
          </w:tcPr>
          <w:p w14:paraId="37C3B4C3">
            <w:pPr>
              <w:spacing w:before="96" w:beforeLines="40" w:after="96" w:afterLines="40" w:line="24" w:lineRule="atLeast"/>
              <w:textAlignment w:val="baseline"/>
              <w:rPr>
                <w:rFonts w:hint="default" w:eastAsia="宋体"/>
                <w:sz w:val="18"/>
                <w:szCs w:val="18"/>
                <w:shd w:val="clear" w:color="auto" w:fill="FFFFFF"/>
                <w:lang w:val="en-US" w:eastAsia="zh-CN"/>
              </w:rPr>
            </w:pPr>
            <w:r>
              <w:rPr>
                <w:rFonts w:hint="default" w:eastAsia="宋体"/>
                <w:sz w:val="18"/>
                <w:szCs w:val="18"/>
                <w:shd w:val="clear" w:color="auto" w:fill="FFFFFF"/>
                <w:lang w:val="en-US" w:eastAsia="zh-CN"/>
              </w:rPr>
              <w:t>The GWAS of the Systemic Autoimmune Syndrome (SAS) included summary statistics (GWAS IDs: finn-b-G6_SLEEEPAPNO, SNPs =16,380,465) from a cohort of 16,761 SAS patients of European descent and 201,194 controls for comparison. The GWAS of chronic gastritis included summary statistics (GWAS IDs: finn-b-K11_CHRONGASTR, SNPs = 16,380,395), with a study sample comprising 5,213 cases and 189,695 controls from Europe desent</w:t>
            </w:r>
            <w:r>
              <w:rPr>
                <w:rFonts w:hint="eastAsia" w:eastAsia="宋体"/>
                <w:sz w:val="18"/>
                <w:szCs w:val="18"/>
                <w:shd w:val="clear" w:color="auto" w:fill="FFFFFF"/>
                <w:lang w:val="en-US" w:eastAsia="zh-CN"/>
              </w:rPr>
              <w:t>. The GWAS catalog (GCST90001391 to GCST90002121) provided summary statistics for signatures in immune cell, including data from 3,757 Europeans with 731 signatures in immune cell (SNPs= 22,000,000 approximately).  Information on 91 inflammatory proteins was obtained from GWAS data, which included 14,824 participants of European descent (Zhao et al., 2023).The article reports the sample size of the study population and does not report the methodology used to calculate the sample size.</w:t>
            </w:r>
          </w:p>
        </w:tc>
      </w:tr>
      <w:tr w14:paraId="04B065C7">
        <w:tblPrEx>
          <w:tblCellMar>
            <w:top w:w="0" w:type="dxa"/>
            <w:left w:w="108" w:type="dxa"/>
            <w:bottom w:w="0" w:type="dxa"/>
            <w:right w:w="108" w:type="dxa"/>
          </w:tblCellMar>
        </w:tblPrEx>
        <w:tc>
          <w:tcPr>
            <w:tcW w:w="587" w:type="dxa"/>
            <w:shd w:val="clear" w:color="auto" w:fill="EEEEEE"/>
          </w:tcPr>
          <w:p w14:paraId="09448E25">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60DD299">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EEEEEE"/>
          </w:tcPr>
          <w:p w14:paraId="7B54F10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measurement, quality control and selection of genetic variants</w:t>
            </w:r>
          </w:p>
        </w:tc>
        <w:tc>
          <w:tcPr>
            <w:tcW w:w="720" w:type="dxa"/>
            <w:shd w:val="clear" w:color="auto" w:fill="EEEEEE"/>
          </w:tcPr>
          <w:p w14:paraId="2CDB28F5">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5</w:t>
            </w:r>
          </w:p>
        </w:tc>
        <w:tc>
          <w:tcPr>
            <w:tcW w:w="4320" w:type="dxa"/>
            <w:shd w:val="clear" w:color="auto" w:fill="EEEEEE"/>
          </w:tcPr>
          <w:p w14:paraId="26B556E6">
            <w:pPr>
              <w:spacing w:before="96" w:beforeLines="40" w:after="96" w:afterLines="40" w:line="24" w:lineRule="atLeast"/>
              <w:rPr>
                <w:rFonts w:eastAsia="Times New Roman"/>
                <w:sz w:val="18"/>
                <w:szCs w:val="18"/>
                <w:lang w:val="en-GB" w:eastAsia="en-GB"/>
              </w:rPr>
            </w:pPr>
            <w:r>
              <w:rPr>
                <w:rFonts w:hint="eastAsia" w:eastAsia="宋体"/>
                <w:sz w:val="18"/>
                <w:szCs w:val="18"/>
                <w:lang w:val="en-US" w:eastAsia="zh-CN"/>
              </w:rPr>
              <w:t>B</w:t>
            </w:r>
            <w:r>
              <w:rPr>
                <w:rFonts w:hint="eastAsia" w:eastAsia="Times New Roman"/>
                <w:sz w:val="18"/>
                <w:szCs w:val="18"/>
                <w:lang w:val="en-GB" w:eastAsia="en-GB"/>
              </w:rPr>
              <w:t>y excluding SNPs within the 10,000 kb and r2 &lt; 0.001 threshold, three high linkage disequilibrium SNPs (rs10938398, rs3996329, rs9937053) were excluded to avoid confounding effects and guarantee the independence of the selected SNPs. the PhenoScanner was used to remove IVs associated with confounders.</w:t>
            </w:r>
          </w:p>
        </w:tc>
      </w:tr>
      <w:tr w14:paraId="215DDE8E">
        <w:tblPrEx>
          <w:tblCellMar>
            <w:top w:w="0" w:type="dxa"/>
            <w:left w:w="108" w:type="dxa"/>
            <w:bottom w:w="0" w:type="dxa"/>
            <w:right w:w="108" w:type="dxa"/>
          </w:tblCellMar>
        </w:tblPrEx>
        <w:tc>
          <w:tcPr>
            <w:tcW w:w="587" w:type="dxa"/>
            <w:shd w:val="clear" w:color="auto" w:fill="auto"/>
          </w:tcPr>
          <w:p w14:paraId="7E3D460D">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0FB55ADC">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auto"/>
          </w:tcPr>
          <w:p w14:paraId="3B6B6065">
            <w:pPr>
              <w:spacing w:before="96" w:beforeLines="40" w:after="96" w:afterLines="40" w:line="24" w:lineRule="atLeast"/>
              <w:textAlignment w:val="baseline"/>
              <w:rPr>
                <w:rFonts w:eastAsia="Cambria"/>
                <w:sz w:val="18"/>
                <w:szCs w:val="18"/>
                <w:lang w:val="en-GB" w:eastAsia="en-US"/>
              </w:rPr>
            </w:pPr>
            <w:r>
              <w:rPr>
                <w:rFonts w:eastAsia="Times New Roman"/>
                <w:sz w:val="18"/>
                <w:szCs w:val="18"/>
                <w:shd w:val="clear" w:color="auto" w:fill="FFFFFF"/>
                <w:lang w:val="en-GB" w:eastAsia="en-GB"/>
              </w:rPr>
              <w:t>For each exposure, outcome, and other relevant variables, describe methods of assessment and diagnostic criteria for diseases</w:t>
            </w:r>
          </w:p>
        </w:tc>
        <w:tc>
          <w:tcPr>
            <w:tcW w:w="720" w:type="dxa"/>
          </w:tcPr>
          <w:p w14:paraId="37FB656C">
            <w:pPr>
              <w:spacing w:before="96" w:beforeLines="40" w:after="96" w:afterLines="40" w:line="24" w:lineRule="atLeast"/>
              <w:textAlignment w:val="baseline"/>
              <w:rPr>
                <w:rFonts w:hint="eastAsia" w:eastAsia="宋体"/>
                <w:sz w:val="18"/>
                <w:szCs w:val="18"/>
                <w:shd w:val="clear" w:color="auto" w:fill="FFFFFF"/>
                <w:lang w:val="en-US" w:eastAsia="zh-CN"/>
              </w:rPr>
            </w:pPr>
            <w:r>
              <w:rPr>
                <w:rFonts w:hint="eastAsia" w:eastAsia="宋体"/>
                <w:sz w:val="18"/>
                <w:szCs w:val="18"/>
                <w:shd w:val="clear" w:color="auto" w:fill="FFFFFF"/>
                <w:lang w:val="en-US" w:eastAsia="zh-CN"/>
              </w:rPr>
              <w:t>4</w:t>
            </w:r>
          </w:p>
        </w:tc>
        <w:tc>
          <w:tcPr>
            <w:tcW w:w="4320" w:type="dxa"/>
          </w:tcPr>
          <w:p w14:paraId="18BB4B57">
            <w:pPr>
              <w:spacing w:before="96" w:beforeLines="40" w:after="96" w:afterLines="40" w:line="24" w:lineRule="atLeast"/>
              <w:textAlignment w:val="baseline"/>
              <w:rPr>
                <w:rFonts w:hint="eastAsia" w:eastAsia="宋体"/>
                <w:sz w:val="18"/>
                <w:szCs w:val="18"/>
                <w:shd w:val="clear" w:color="auto" w:fill="FFFFFF"/>
                <w:lang w:val="en-US" w:eastAsia="zh-CN"/>
              </w:rPr>
            </w:pPr>
            <w:r>
              <w:rPr>
                <w:rFonts w:hint="eastAsia" w:eastAsia="Times New Roman"/>
                <w:sz w:val="18"/>
                <w:szCs w:val="18"/>
                <w:shd w:val="clear" w:color="auto" w:fill="FFFFFF"/>
                <w:lang w:val="en-GB" w:eastAsia="en-GB"/>
              </w:rPr>
              <w:t>Each exposure factor is described in the methodological selection of genetic tool variables and three SNPs are excluded(rs10938398, rs3996329, rs9937053)</w:t>
            </w:r>
            <w:r>
              <w:rPr>
                <w:rFonts w:hint="eastAsia" w:eastAsia="宋体"/>
                <w:sz w:val="18"/>
                <w:szCs w:val="18"/>
                <w:shd w:val="clear" w:color="auto" w:fill="FFFFFF"/>
                <w:lang w:val="en-US" w:eastAsia="zh-CN"/>
              </w:rPr>
              <w:t>.</w:t>
            </w:r>
          </w:p>
        </w:tc>
      </w:tr>
      <w:tr w14:paraId="69A6C8B1">
        <w:tblPrEx>
          <w:tblCellMar>
            <w:top w:w="0" w:type="dxa"/>
            <w:left w:w="108" w:type="dxa"/>
            <w:bottom w:w="0" w:type="dxa"/>
            <w:right w:w="108" w:type="dxa"/>
          </w:tblCellMar>
        </w:tblPrEx>
        <w:tc>
          <w:tcPr>
            <w:tcW w:w="587" w:type="dxa"/>
            <w:shd w:val="clear" w:color="auto" w:fill="EEEEEE"/>
          </w:tcPr>
          <w:p w14:paraId="292FBB97">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73C46B4">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e)</w:t>
            </w:r>
          </w:p>
        </w:tc>
        <w:tc>
          <w:tcPr>
            <w:tcW w:w="7041" w:type="dxa"/>
            <w:shd w:val="clear" w:color="auto" w:fill="EEEEEE"/>
          </w:tcPr>
          <w:p w14:paraId="4E713FBB">
            <w:pPr>
              <w:spacing w:before="96" w:beforeLines="40" w:after="96" w:afterLines="40" w:line="24" w:lineRule="atLeast"/>
              <w:textAlignment w:val="baseline"/>
              <w:rPr>
                <w:rFonts w:eastAsia="Cambria"/>
                <w:sz w:val="18"/>
                <w:szCs w:val="18"/>
                <w:lang w:val="en-GB" w:eastAsia="en-US"/>
              </w:rPr>
            </w:pPr>
            <w:r>
              <w:rPr>
                <w:rFonts w:eastAsia="Times New Roman"/>
                <w:sz w:val="18"/>
                <w:szCs w:val="18"/>
                <w:shd w:val="clear" w:color="auto" w:fill="FFFFFF"/>
                <w:lang w:val="en-GB" w:eastAsia="en-GB"/>
              </w:rPr>
              <w:t>Provide details of ethics committee approval and participant informed consent, if relevant</w:t>
            </w:r>
          </w:p>
        </w:tc>
        <w:tc>
          <w:tcPr>
            <w:tcW w:w="720" w:type="dxa"/>
            <w:shd w:val="clear" w:color="auto" w:fill="EEEEEE"/>
          </w:tcPr>
          <w:p w14:paraId="2754FA07">
            <w:pPr>
              <w:spacing w:before="96" w:beforeLines="40" w:after="96" w:afterLines="40" w:line="24" w:lineRule="atLeast"/>
              <w:textAlignment w:val="baseline"/>
              <w:rPr>
                <w:rFonts w:hint="default" w:eastAsia="宋体"/>
                <w:sz w:val="18"/>
                <w:szCs w:val="18"/>
                <w:shd w:val="clear" w:color="auto" w:fill="FFFFFF"/>
                <w:lang w:val="en-US" w:eastAsia="zh-CN"/>
              </w:rPr>
            </w:pPr>
            <w:r>
              <w:rPr>
                <w:rFonts w:hint="eastAsia" w:eastAsia="宋体"/>
                <w:sz w:val="18"/>
                <w:szCs w:val="18"/>
                <w:shd w:val="clear" w:color="auto" w:fill="FFFFFF"/>
                <w:lang w:val="en-US" w:eastAsia="zh-CN"/>
              </w:rPr>
              <w:t>13</w:t>
            </w:r>
          </w:p>
        </w:tc>
        <w:tc>
          <w:tcPr>
            <w:tcW w:w="4320" w:type="dxa"/>
            <w:shd w:val="clear" w:color="auto" w:fill="EEEEEE"/>
          </w:tcPr>
          <w:p w14:paraId="6067A95B">
            <w:pPr>
              <w:spacing w:before="96" w:beforeLines="40" w:after="96" w:afterLines="40" w:line="24" w:lineRule="atLeast"/>
              <w:textAlignment w:val="baseline"/>
              <w:rPr>
                <w:rFonts w:eastAsia="Times New Roman"/>
                <w:sz w:val="18"/>
                <w:szCs w:val="18"/>
                <w:shd w:val="clear" w:color="auto" w:fill="FFFFFF"/>
                <w:lang w:val="en-GB" w:eastAsia="en-GB"/>
              </w:rPr>
            </w:pPr>
            <w:r>
              <w:rPr>
                <w:rFonts w:hint="eastAsia" w:eastAsia="宋体"/>
                <w:sz w:val="18"/>
                <w:szCs w:val="18"/>
                <w:shd w:val="clear" w:color="auto" w:fill="FFFFFF"/>
                <w:lang w:val="en-US" w:eastAsia="zh-CN"/>
              </w:rPr>
              <w:t xml:space="preserve">Declarations: </w:t>
            </w:r>
            <w:r>
              <w:rPr>
                <w:rFonts w:hint="eastAsia" w:eastAsia="Times New Roman"/>
                <w:sz w:val="18"/>
                <w:szCs w:val="18"/>
                <w:shd w:val="clear" w:color="auto" w:fill="FFFFFF"/>
                <w:lang w:val="en-GB" w:eastAsia="en-GB"/>
              </w:rPr>
              <w:t>Consent for publication</w:t>
            </w:r>
            <w:r>
              <w:rPr>
                <w:rFonts w:hint="eastAsia" w:eastAsia="宋体"/>
                <w:sz w:val="18"/>
                <w:szCs w:val="18"/>
                <w:shd w:val="clear" w:color="auto" w:fill="FFFFFF"/>
                <w:lang w:val="en-US" w:eastAsia="zh-CN"/>
              </w:rPr>
              <w:t xml:space="preserve">: </w:t>
            </w:r>
            <w:r>
              <w:rPr>
                <w:rFonts w:hint="eastAsia" w:eastAsia="Times New Roman"/>
                <w:sz w:val="18"/>
                <w:szCs w:val="18"/>
                <w:shd w:val="clear" w:color="auto" w:fill="FFFFFF"/>
                <w:lang w:val="en-GB" w:eastAsia="en-GB"/>
              </w:rPr>
              <w:t>Not applicable.</w:t>
            </w:r>
          </w:p>
        </w:tc>
      </w:tr>
      <w:tr w14:paraId="23EA53EC">
        <w:tblPrEx>
          <w:tblCellMar>
            <w:top w:w="0" w:type="dxa"/>
            <w:left w:w="108" w:type="dxa"/>
            <w:bottom w:w="0" w:type="dxa"/>
            <w:right w:w="108" w:type="dxa"/>
          </w:tblCellMar>
        </w:tblPrEx>
        <w:tc>
          <w:tcPr>
            <w:tcW w:w="587" w:type="dxa"/>
            <w:shd w:val="clear" w:color="auto" w:fill="auto"/>
          </w:tcPr>
          <w:p w14:paraId="3E6E0D63">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5</w:t>
            </w:r>
          </w:p>
        </w:tc>
        <w:tc>
          <w:tcPr>
            <w:tcW w:w="1822" w:type="dxa"/>
            <w:shd w:val="clear" w:color="auto" w:fill="auto"/>
          </w:tcPr>
          <w:p w14:paraId="1F0455B3">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Assumptions</w:t>
            </w:r>
          </w:p>
          <w:p w14:paraId="0458797D">
            <w:pPr>
              <w:spacing w:before="96" w:beforeLines="40" w:after="96" w:afterLines="40" w:line="24" w:lineRule="atLeast"/>
              <w:jc w:val="center"/>
              <w:rPr>
                <w:rFonts w:eastAsia="Cambria"/>
                <w:sz w:val="18"/>
                <w:szCs w:val="18"/>
                <w:lang w:val="en-GB" w:eastAsia="en-US"/>
              </w:rPr>
            </w:pPr>
          </w:p>
        </w:tc>
        <w:tc>
          <w:tcPr>
            <w:tcW w:w="7041" w:type="dxa"/>
            <w:shd w:val="clear" w:color="auto" w:fill="auto"/>
          </w:tcPr>
          <w:p w14:paraId="5139727F">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Explicitly state the three core IV assumptions for the main analysis (relevance, independence and exclusion restriction) as well assumptions for any additional or sensitivity analysis</w:t>
            </w:r>
          </w:p>
        </w:tc>
        <w:tc>
          <w:tcPr>
            <w:tcW w:w="720" w:type="dxa"/>
          </w:tcPr>
          <w:p w14:paraId="6A2AE76D">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5</w:t>
            </w:r>
          </w:p>
        </w:tc>
        <w:tc>
          <w:tcPr>
            <w:tcW w:w="4320" w:type="dxa"/>
          </w:tcPr>
          <w:p w14:paraId="7A54DE1B">
            <w:pPr>
              <w:spacing w:before="96" w:beforeLines="40" w:after="96" w:afterLines="40" w:line="24" w:lineRule="atLeast"/>
              <w:rPr>
                <w:rFonts w:hint="default" w:eastAsia="宋体"/>
                <w:sz w:val="18"/>
                <w:szCs w:val="18"/>
                <w:lang w:val="en-US" w:eastAsia="zh-CN"/>
              </w:rPr>
            </w:pPr>
            <w:r>
              <w:rPr>
                <w:rFonts w:hint="eastAsia" w:eastAsia="Times New Roman"/>
                <w:sz w:val="18"/>
                <w:szCs w:val="18"/>
                <w:lang w:val="en-GB" w:eastAsia="en-GB"/>
              </w:rPr>
              <w:t>The three core hypotheses are not described in detail in the example text, but they are reflected in the analytic methods. In addition, three methods of sensitivity analysis and horizontal polytropy detection are described: the weighted median method, MR-Egger, and MR- PRESSO, and the use of the F-statistic for calculating statistical validity and the Q-statistic for detecting heterogeneity are reported.</w:t>
            </w:r>
            <w:r>
              <w:rPr>
                <w:rFonts w:hint="eastAsia" w:eastAsia="宋体"/>
                <w:sz w:val="18"/>
                <w:szCs w:val="18"/>
                <w:lang w:val="en-US" w:eastAsia="zh-CN"/>
              </w:rPr>
              <w:t xml:space="preserve"> </w:t>
            </w:r>
          </w:p>
        </w:tc>
      </w:tr>
      <w:tr w14:paraId="6209F8C8">
        <w:tblPrEx>
          <w:tblCellMar>
            <w:top w:w="0" w:type="dxa"/>
            <w:left w:w="108" w:type="dxa"/>
            <w:bottom w:w="0" w:type="dxa"/>
            <w:right w:w="108" w:type="dxa"/>
          </w:tblCellMar>
        </w:tblPrEx>
        <w:tc>
          <w:tcPr>
            <w:tcW w:w="587" w:type="dxa"/>
            <w:shd w:val="clear" w:color="auto" w:fill="EEEEEE"/>
          </w:tcPr>
          <w:p w14:paraId="6FA239C8">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6</w:t>
            </w:r>
          </w:p>
        </w:tc>
        <w:tc>
          <w:tcPr>
            <w:tcW w:w="1822" w:type="dxa"/>
            <w:shd w:val="clear" w:color="auto" w:fill="EEEEEE"/>
          </w:tcPr>
          <w:p w14:paraId="3D8F9E93">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Statistical methods: main analysis</w:t>
            </w:r>
          </w:p>
        </w:tc>
        <w:tc>
          <w:tcPr>
            <w:tcW w:w="7041" w:type="dxa"/>
            <w:shd w:val="clear" w:color="auto" w:fill="EEEEEE"/>
          </w:tcPr>
          <w:p w14:paraId="49C33D0D">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statistical methods and statistics used</w:t>
            </w:r>
          </w:p>
        </w:tc>
        <w:tc>
          <w:tcPr>
            <w:tcW w:w="720" w:type="dxa"/>
            <w:shd w:val="clear" w:color="auto" w:fill="EEEEEE"/>
          </w:tcPr>
          <w:p w14:paraId="0D1191BA">
            <w:pPr>
              <w:spacing w:before="96" w:beforeLines="40" w:after="96" w:afterLines="40" w:line="24" w:lineRule="atLeast"/>
              <w:rPr>
                <w:rFonts w:eastAsia="Times New Roman"/>
                <w:sz w:val="18"/>
                <w:szCs w:val="18"/>
                <w:lang w:val="en-GB" w:eastAsia="en-GB"/>
              </w:rPr>
            </w:pPr>
          </w:p>
        </w:tc>
        <w:tc>
          <w:tcPr>
            <w:tcW w:w="4320" w:type="dxa"/>
            <w:shd w:val="clear" w:color="auto" w:fill="EEEEEE"/>
          </w:tcPr>
          <w:p w14:paraId="75DF0C4B">
            <w:pPr>
              <w:spacing w:before="96" w:beforeLines="40" w:after="96" w:afterLines="40" w:line="24" w:lineRule="atLeast"/>
              <w:rPr>
                <w:rFonts w:eastAsia="Times New Roman"/>
                <w:sz w:val="18"/>
                <w:szCs w:val="18"/>
                <w:lang w:val="en-GB" w:eastAsia="en-GB"/>
              </w:rPr>
            </w:pPr>
          </w:p>
        </w:tc>
      </w:tr>
      <w:tr w14:paraId="4346E621">
        <w:tblPrEx>
          <w:tblCellMar>
            <w:top w:w="0" w:type="dxa"/>
            <w:left w:w="108" w:type="dxa"/>
            <w:bottom w:w="0" w:type="dxa"/>
            <w:right w:w="108" w:type="dxa"/>
          </w:tblCellMar>
        </w:tblPrEx>
        <w:tc>
          <w:tcPr>
            <w:tcW w:w="587" w:type="dxa"/>
            <w:shd w:val="clear" w:color="auto" w:fill="auto"/>
          </w:tcPr>
          <w:p w14:paraId="339A016D">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3635743C">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auto"/>
          </w:tcPr>
          <w:p w14:paraId="3BB90022">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how quantitative variables were handled in the analyses (i.e., scale, units, model)</w:t>
            </w:r>
          </w:p>
        </w:tc>
        <w:tc>
          <w:tcPr>
            <w:tcW w:w="720" w:type="dxa"/>
          </w:tcPr>
          <w:p w14:paraId="22720A53">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5</w:t>
            </w:r>
          </w:p>
        </w:tc>
        <w:tc>
          <w:tcPr>
            <w:tcW w:w="4320" w:type="dxa"/>
          </w:tcPr>
          <w:p w14:paraId="76159846">
            <w:pPr>
              <w:spacing w:before="96" w:beforeLines="40" w:after="96" w:afterLines="40" w:line="24" w:lineRule="atLeast"/>
              <w:rPr>
                <w:rFonts w:hint="default" w:eastAsia="Times New Roman"/>
                <w:sz w:val="18"/>
                <w:szCs w:val="18"/>
                <w:lang w:val="en-US" w:eastAsia="en-GB"/>
              </w:rPr>
            </w:pPr>
            <w:r>
              <w:rPr>
                <w:rFonts w:hint="eastAsia" w:eastAsia="宋体"/>
                <w:sz w:val="18"/>
                <w:szCs w:val="18"/>
                <w:lang w:val="en-US" w:eastAsia="zh-CN"/>
              </w:rPr>
              <w:t>The manuscript reports analyses using random-effects models when there are &gt;3 instrumental variables for genetic variants and fixed-effects models otherwise; statistical effect sizes or units of measurement for the exposure, outcome, and relevant covariates were not transformed and therefore are not reported.</w:t>
            </w:r>
          </w:p>
        </w:tc>
      </w:tr>
      <w:tr w14:paraId="642A4D4B">
        <w:tblPrEx>
          <w:tblCellMar>
            <w:top w:w="0" w:type="dxa"/>
            <w:left w:w="108" w:type="dxa"/>
            <w:bottom w:w="0" w:type="dxa"/>
            <w:right w:w="108" w:type="dxa"/>
          </w:tblCellMar>
        </w:tblPrEx>
        <w:tc>
          <w:tcPr>
            <w:tcW w:w="587" w:type="dxa"/>
            <w:shd w:val="clear" w:color="auto" w:fill="EEEEEE"/>
          </w:tcPr>
          <w:p w14:paraId="11F7484C">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569D49F3">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6B2ACDE9">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how genetic variants were handled in the analyses and, if applicable, how their weights were selected</w:t>
            </w:r>
          </w:p>
        </w:tc>
        <w:tc>
          <w:tcPr>
            <w:tcW w:w="720" w:type="dxa"/>
            <w:shd w:val="clear" w:color="auto" w:fill="EEEEEE"/>
          </w:tcPr>
          <w:p w14:paraId="0DAE64B0">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5</w:t>
            </w:r>
          </w:p>
        </w:tc>
        <w:tc>
          <w:tcPr>
            <w:tcW w:w="4320" w:type="dxa"/>
            <w:shd w:val="clear" w:color="auto" w:fill="EEEEEE"/>
          </w:tcPr>
          <w:p w14:paraId="1612F89F">
            <w:pPr>
              <w:spacing w:before="96" w:beforeLines="40" w:after="96" w:afterLines="40" w:line="24" w:lineRule="atLeast"/>
              <w:rPr>
                <w:rFonts w:eastAsia="Times New Roman"/>
                <w:sz w:val="18"/>
                <w:szCs w:val="18"/>
                <w:lang w:val="en-GB" w:eastAsia="en-GB"/>
              </w:rPr>
            </w:pPr>
            <w:r>
              <w:rPr>
                <w:rFonts w:hint="eastAsia" w:eastAsia="宋体"/>
                <w:sz w:val="18"/>
                <w:szCs w:val="18"/>
                <w:lang w:val="en-US" w:eastAsia="zh-CN"/>
              </w:rPr>
              <w:t>To identify IVs on a global scale, genome-wide significance levels (p &lt; 1e-05) were employed as criteria to screen for IVs that are significantly linked to exposure factors.</w:t>
            </w:r>
            <w:r>
              <w:rPr>
                <w:rFonts w:hint="eastAsia" w:eastAsia="Times New Roman"/>
                <w:sz w:val="18"/>
                <w:szCs w:val="18"/>
                <w:lang w:val="en-GB" w:eastAsia="en-GB"/>
              </w:rPr>
              <w:t xml:space="preserve"> </w:t>
            </w:r>
          </w:p>
        </w:tc>
      </w:tr>
      <w:tr w14:paraId="70378831">
        <w:tblPrEx>
          <w:tblCellMar>
            <w:top w:w="0" w:type="dxa"/>
            <w:left w:w="108" w:type="dxa"/>
            <w:bottom w:w="0" w:type="dxa"/>
            <w:right w:w="108" w:type="dxa"/>
          </w:tblCellMar>
        </w:tblPrEx>
        <w:tc>
          <w:tcPr>
            <w:tcW w:w="587" w:type="dxa"/>
            <w:shd w:val="clear" w:color="auto" w:fill="auto"/>
          </w:tcPr>
          <w:p w14:paraId="45E41495">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59F665E7">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auto"/>
          </w:tcPr>
          <w:p w14:paraId="5CB03D96">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the MR estimator (e.g. two-stage least squares, Wald ratio) and related statistics. Detail the included covariates and, in case of two-sample MR, whether the same covariate set was used for adjustment in the two samples</w:t>
            </w:r>
          </w:p>
        </w:tc>
        <w:tc>
          <w:tcPr>
            <w:tcW w:w="720" w:type="dxa"/>
          </w:tcPr>
          <w:p w14:paraId="7B7E7C35">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5</w:t>
            </w:r>
          </w:p>
        </w:tc>
        <w:tc>
          <w:tcPr>
            <w:tcW w:w="4320" w:type="dxa"/>
          </w:tcPr>
          <w:p w14:paraId="334D44EB">
            <w:pPr>
              <w:spacing w:before="96" w:beforeLines="40" w:after="96" w:afterLines="40" w:line="24" w:lineRule="atLeast"/>
              <w:rPr>
                <w:rFonts w:hint="default" w:eastAsia="Times New Roman"/>
                <w:sz w:val="18"/>
                <w:szCs w:val="18"/>
                <w:lang w:val="en-US" w:eastAsia="en-GB"/>
              </w:rPr>
            </w:pPr>
            <w:r>
              <w:rPr>
                <w:rFonts w:hint="eastAsia" w:eastAsia="宋体"/>
                <w:sz w:val="18"/>
                <w:szCs w:val="18"/>
                <w:lang w:val="en-US" w:eastAsia="zh-CN"/>
              </w:rPr>
              <w:t xml:space="preserve">The IVW method takes into account the uncertainty of the individual SNP effect estimates, giving greater weight to those SNPs with a smaller standard error. MR-Egger explains the potential heterogeneity in IVs and can detect and correct bias to test for horizontal pleiotropy. </w:t>
            </w:r>
          </w:p>
        </w:tc>
      </w:tr>
      <w:tr w14:paraId="0D8F3A7E">
        <w:tblPrEx>
          <w:tblCellMar>
            <w:top w:w="0" w:type="dxa"/>
            <w:left w:w="108" w:type="dxa"/>
            <w:bottom w:w="0" w:type="dxa"/>
            <w:right w:w="108" w:type="dxa"/>
          </w:tblCellMar>
        </w:tblPrEx>
        <w:tc>
          <w:tcPr>
            <w:tcW w:w="587" w:type="dxa"/>
            <w:shd w:val="clear" w:color="auto" w:fill="EEEEEE"/>
          </w:tcPr>
          <w:p w14:paraId="1D70C4CD">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0A3AAFD6">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EEEEEE"/>
          </w:tcPr>
          <w:p w14:paraId="08786389">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Explain how missing data were addressed</w:t>
            </w:r>
          </w:p>
        </w:tc>
        <w:tc>
          <w:tcPr>
            <w:tcW w:w="720" w:type="dxa"/>
            <w:shd w:val="clear" w:color="auto" w:fill="EEEEEE"/>
          </w:tcPr>
          <w:p w14:paraId="297C3632">
            <w:pPr>
              <w:spacing w:before="96" w:beforeLines="40" w:after="96" w:afterLines="40" w:line="24" w:lineRule="atLeast"/>
              <w:rPr>
                <w:rFonts w:hint="eastAsia" w:eastAsia="宋体"/>
                <w:sz w:val="18"/>
                <w:szCs w:val="18"/>
                <w:lang w:val="en-US" w:eastAsia="zh-CN"/>
              </w:rPr>
            </w:pPr>
          </w:p>
        </w:tc>
        <w:tc>
          <w:tcPr>
            <w:tcW w:w="4320" w:type="dxa"/>
            <w:shd w:val="clear" w:color="auto" w:fill="EEEEEE"/>
          </w:tcPr>
          <w:p w14:paraId="16808665">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Treatment of missing data not reported in articles</w:t>
            </w:r>
            <w:r>
              <w:rPr>
                <w:rFonts w:hint="eastAsia" w:eastAsia="宋体"/>
                <w:sz w:val="18"/>
                <w:szCs w:val="18"/>
                <w:lang w:val="en-US" w:eastAsia="zh-CN"/>
              </w:rPr>
              <w:t>.</w:t>
            </w:r>
          </w:p>
        </w:tc>
      </w:tr>
      <w:tr w14:paraId="77F037B8">
        <w:tblPrEx>
          <w:tblCellMar>
            <w:top w:w="0" w:type="dxa"/>
            <w:left w:w="108" w:type="dxa"/>
            <w:bottom w:w="0" w:type="dxa"/>
            <w:right w:w="108" w:type="dxa"/>
          </w:tblCellMar>
        </w:tblPrEx>
        <w:tc>
          <w:tcPr>
            <w:tcW w:w="587" w:type="dxa"/>
            <w:shd w:val="clear" w:color="auto" w:fill="auto"/>
          </w:tcPr>
          <w:p w14:paraId="4AC39E55">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4D9E0350">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e)</w:t>
            </w:r>
          </w:p>
        </w:tc>
        <w:tc>
          <w:tcPr>
            <w:tcW w:w="7041" w:type="dxa"/>
            <w:shd w:val="clear" w:color="auto" w:fill="auto"/>
          </w:tcPr>
          <w:p w14:paraId="41F1E523">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If applicable, indicate how multiple testing was addressed</w:t>
            </w:r>
          </w:p>
        </w:tc>
        <w:tc>
          <w:tcPr>
            <w:tcW w:w="720" w:type="dxa"/>
          </w:tcPr>
          <w:p w14:paraId="6B5C4982">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6</w:t>
            </w:r>
          </w:p>
        </w:tc>
        <w:tc>
          <w:tcPr>
            <w:tcW w:w="4320" w:type="dxa"/>
          </w:tcPr>
          <w:p w14:paraId="490E44D4">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Robustness assessed via consistency across methods (IVW, MR-Egger, weighted median).</w:t>
            </w:r>
          </w:p>
        </w:tc>
      </w:tr>
      <w:tr w14:paraId="585043CE">
        <w:tblPrEx>
          <w:tblCellMar>
            <w:top w:w="0" w:type="dxa"/>
            <w:left w:w="108" w:type="dxa"/>
            <w:bottom w:w="0" w:type="dxa"/>
            <w:right w:w="108" w:type="dxa"/>
          </w:tblCellMar>
        </w:tblPrEx>
        <w:trPr>
          <w:trHeight w:val="90" w:hRule="atLeast"/>
        </w:trPr>
        <w:tc>
          <w:tcPr>
            <w:tcW w:w="587" w:type="dxa"/>
            <w:shd w:val="clear" w:color="auto" w:fill="EEEEEE"/>
          </w:tcPr>
          <w:p w14:paraId="55967D09">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7</w:t>
            </w:r>
          </w:p>
        </w:tc>
        <w:tc>
          <w:tcPr>
            <w:tcW w:w="1822" w:type="dxa"/>
            <w:shd w:val="clear" w:color="auto" w:fill="EEEEEE"/>
          </w:tcPr>
          <w:p w14:paraId="0947B164">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Assessment of assumptions</w:t>
            </w:r>
          </w:p>
        </w:tc>
        <w:tc>
          <w:tcPr>
            <w:tcW w:w="7041" w:type="dxa"/>
            <w:shd w:val="clear" w:color="auto" w:fill="EEEEEE"/>
          </w:tcPr>
          <w:p w14:paraId="1E6D0B1E">
            <w:pPr>
              <w:tabs>
                <w:tab w:val="left" w:pos="1620"/>
              </w:tabs>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any methods or prior knowledge used to assess the assumptions or justify their validity</w:t>
            </w:r>
            <w:r>
              <w:rPr>
                <w:rFonts w:eastAsia="Cambria"/>
                <w:sz w:val="18"/>
                <w:szCs w:val="18"/>
                <w:lang w:val="en-GB" w:eastAsia="en-US"/>
              </w:rPr>
              <w:tab/>
            </w:r>
          </w:p>
        </w:tc>
        <w:tc>
          <w:tcPr>
            <w:tcW w:w="720" w:type="dxa"/>
            <w:shd w:val="clear" w:color="auto" w:fill="EEEEEE"/>
          </w:tcPr>
          <w:p w14:paraId="61C50F74">
            <w:pPr>
              <w:tabs>
                <w:tab w:val="left" w:pos="1620"/>
              </w:tabs>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5, 6</w:t>
            </w:r>
          </w:p>
        </w:tc>
        <w:tc>
          <w:tcPr>
            <w:tcW w:w="4320" w:type="dxa"/>
            <w:shd w:val="clear" w:color="auto" w:fill="EEEEEE"/>
          </w:tcPr>
          <w:p w14:paraId="5D46DB2B">
            <w:pPr>
              <w:tabs>
                <w:tab w:val="left" w:pos="1620"/>
              </w:tabs>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In the article, MR egger intercept, MR Presso, leave-one-out analysis, and F-statistics are used to estimate statistical power</w:t>
            </w:r>
          </w:p>
        </w:tc>
      </w:tr>
      <w:tr w14:paraId="383932D9">
        <w:tblPrEx>
          <w:tblCellMar>
            <w:top w:w="0" w:type="dxa"/>
            <w:left w:w="108" w:type="dxa"/>
            <w:bottom w:w="0" w:type="dxa"/>
            <w:right w:w="108" w:type="dxa"/>
          </w:tblCellMar>
        </w:tblPrEx>
        <w:tc>
          <w:tcPr>
            <w:tcW w:w="587" w:type="dxa"/>
            <w:shd w:val="clear" w:color="auto" w:fill="auto"/>
          </w:tcPr>
          <w:p w14:paraId="1A4621BC">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8</w:t>
            </w:r>
          </w:p>
        </w:tc>
        <w:tc>
          <w:tcPr>
            <w:tcW w:w="1822" w:type="dxa"/>
            <w:shd w:val="clear" w:color="auto" w:fill="auto"/>
          </w:tcPr>
          <w:p w14:paraId="0F88F25B">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Sensitivity analyses and additional analyses</w:t>
            </w:r>
          </w:p>
        </w:tc>
        <w:tc>
          <w:tcPr>
            <w:tcW w:w="7041" w:type="dxa"/>
            <w:shd w:val="clear" w:color="auto" w:fill="auto"/>
          </w:tcPr>
          <w:p w14:paraId="13C6445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Describe any sensitivity analyses or additional analyses performed (e.g. comparison of effect estimates from different approaches, independent replication, bias analytic techniques, validation of instruments, simulations)</w:t>
            </w:r>
          </w:p>
        </w:tc>
        <w:tc>
          <w:tcPr>
            <w:tcW w:w="720" w:type="dxa"/>
          </w:tcPr>
          <w:p w14:paraId="4B9B6FF5">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5-7</w:t>
            </w:r>
          </w:p>
        </w:tc>
        <w:tc>
          <w:tcPr>
            <w:tcW w:w="4320" w:type="dxa"/>
          </w:tcPr>
          <w:p w14:paraId="229BFDFD">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In the article, MR</w:t>
            </w:r>
            <w:r>
              <w:rPr>
                <w:rFonts w:hint="eastAsia" w:eastAsia="宋体"/>
                <w:sz w:val="18"/>
                <w:szCs w:val="18"/>
                <w:lang w:val="en-US" w:eastAsia="zh-CN"/>
              </w:rPr>
              <w:t>-</w:t>
            </w:r>
            <w:r>
              <w:rPr>
                <w:rFonts w:hint="eastAsia" w:eastAsia="Times New Roman"/>
                <w:sz w:val="18"/>
                <w:szCs w:val="18"/>
                <w:lang w:val="en-GB" w:eastAsia="en-GB"/>
              </w:rPr>
              <w:t>CAUSE, MRlap</w:t>
            </w:r>
            <w:r>
              <w:rPr>
                <w:rFonts w:hint="eastAsia" w:eastAsia="Times New Roman"/>
                <w:sz w:val="18"/>
                <w:szCs w:val="18"/>
                <w:lang w:val="en-GB" w:eastAsia="en-GB"/>
              </w:rPr>
              <w:t>, funnel plots</w:t>
            </w:r>
            <w:r>
              <w:rPr>
                <w:rFonts w:hint="eastAsia" w:eastAsia="Times New Roman"/>
                <w:sz w:val="18"/>
                <w:szCs w:val="18"/>
                <w:lang w:val="en-GB" w:eastAsia="en-GB"/>
              </w:rPr>
              <w:t>, and</w:t>
            </w:r>
            <w:r>
              <w:rPr>
                <w:rFonts w:hint="eastAsia" w:eastAsia="宋体"/>
                <w:sz w:val="18"/>
                <w:szCs w:val="18"/>
                <w:lang w:val="en-US" w:eastAsia="zh-CN"/>
              </w:rPr>
              <w:t xml:space="preserve"> </w:t>
            </w:r>
            <w:r>
              <w:rPr>
                <w:rFonts w:hint="eastAsia" w:eastAsia="Times New Roman"/>
                <w:sz w:val="18"/>
                <w:szCs w:val="18"/>
                <w:lang w:val="en-GB" w:eastAsia="en-GB"/>
              </w:rPr>
              <w:t>heterogeneity</w:t>
            </w:r>
            <w:r>
              <w:rPr>
                <w:rFonts w:hint="eastAsia" w:eastAsia="Times New Roman"/>
                <w:sz w:val="18"/>
                <w:szCs w:val="18"/>
                <w:lang w:val="en-GB" w:eastAsia="en-GB"/>
              </w:rPr>
              <w:t xml:space="preserve"> tests</w:t>
            </w:r>
            <w:r>
              <w:rPr>
                <w:rFonts w:hint="eastAsia" w:eastAsia="Times New Roman"/>
                <w:sz w:val="18"/>
                <w:szCs w:val="18"/>
                <w:lang w:val="en-GB" w:eastAsia="en-GB"/>
              </w:rPr>
              <w:t xml:space="preserve"> (Cochran’s Q)</w:t>
            </w:r>
            <w:r>
              <w:rPr>
                <w:rFonts w:hint="eastAsia" w:eastAsia="Times New Roman"/>
                <w:sz w:val="18"/>
                <w:szCs w:val="18"/>
                <w:lang w:val="en-GB" w:eastAsia="en-GB"/>
              </w:rPr>
              <w:t xml:space="preserve"> were used to assess the robustness of the effect sizes</w:t>
            </w:r>
            <w:r>
              <w:rPr>
                <w:rFonts w:hint="eastAsia" w:eastAsia="宋体"/>
                <w:sz w:val="18"/>
                <w:szCs w:val="18"/>
                <w:lang w:val="en-US" w:eastAsia="zh-CN"/>
              </w:rPr>
              <w:t>.</w:t>
            </w:r>
          </w:p>
        </w:tc>
      </w:tr>
      <w:tr w14:paraId="55C7A410">
        <w:tblPrEx>
          <w:tblCellMar>
            <w:top w:w="0" w:type="dxa"/>
            <w:left w:w="108" w:type="dxa"/>
            <w:bottom w:w="0" w:type="dxa"/>
            <w:right w:w="108" w:type="dxa"/>
          </w:tblCellMar>
        </w:tblPrEx>
        <w:tc>
          <w:tcPr>
            <w:tcW w:w="587" w:type="dxa"/>
            <w:shd w:val="clear" w:color="auto" w:fill="EEEEEE"/>
          </w:tcPr>
          <w:p w14:paraId="056075DE">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9</w:t>
            </w:r>
          </w:p>
        </w:tc>
        <w:tc>
          <w:tcPr>
            <w:tcW w:w="1822" w:type="dxa"/>
            <w:shd w:val="clear" w:color="auto" w:fill="EEEEEE"/>
          </w:tcPr>
          <w:p w14:paraId="6096809E">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Software and pre-registration</w:t>
            </w:r>
          </w:p>
        </w:tc>
        <w:tc>
          <w:tcPr>
            <w:tcW w:w="7041" w:type="dxa"/>
            <w:shd w:val="clear" w:color="auto" w:fill="EEEEEE"/>
          </w:tcPr>
          <w:p w14:paraId="08D1055E">
            <w:pPr>
              <w:spacing w:before="96" w:beforeLines="40" w:after="96" w:afterLines="40" w:line="24" w:lineRule="atLeast"/>
              <w:rPr>
                <w:rFonts w:eastAsia="Cambria"/>
                <w:sz w:val="18"/>
                <w:szCs w:val="18"/>
                <w:lang w:val="en-GB" w:eastAsia="en-US"/>
              </w:rPr>
            </w:pPr>
          </w:p>
        </w:tc>
        <w:tc>
          <w:tcPr>
            <w:tcW w:w="720" w:type="dxa"/>
            <w:shd w:val="clear" w:color="auto" w:fill="EEEEEE"/>
          </w:tcPr>
          <w:p w14:paraId="721E714E">
            <w:pPr>
              <w:spacing w:before="96" w:beforeLines="40" w:after="96" w:afterLines="40" w:line="24" w:lineRule="atLeast"/>
              <w:rPr>
                <w:rFonts w:eastAsia="Cambria"/>
                <w:sz w:val="18"/>
                <w:szCs w:val="18"/>
                <w:lang w:val="en-GB" w:eastAsia="en-US"/>
              </w:rPr>
            </w:pPr>
          </w:p>
        </w:tc>
        <w:tc>
          <w:tcPr>
            <w:tcW w:w="4320" w:type="dxa"/>
            <w:shd w:val="clear" w:color="auto" w:fill="EEEEEE"/>
          </w:tcPr>
          <w:p w14:paraId="495710C0">
            <w:pPr>
              <w:spacing w:before="96" w:beforeLines="40" w:after="96" w:afterLines="40" w:line="24" w:lineRule="atLeast"/>
              <w:rPr>
                <w:rFonts w:eastAsia="Cambria"/>
                <w:sz w:val="18"/>
                <w:szCs w:val="18"/>
                <w:lang w:val="en-GB" w:eastAsia="en-US"/>
              </w:rPr>
            </w:pPr>
          </w:p>
        </w:tc>
      </w:tr>
      <w:tr w14:paraId="5EA9EBD1">
        <w:tblPrEx>
          <w:tblCellMar>
            <w:top w:w="0" w:type="dxa"/>
            <w:left w:w="108" w:type="dxa"/>
            <w:bottom w:w="0" w:type="dxa"/>
            <w:right w:w="108" w:type="dxa"/>
          </w:tblCellMar>
        </w:tblPrEx>
        <w:tc>
          <w:tcPr>
            <w:tcW w:w="587" w:type="dxa"/>
            <w:shd w:val="clear" w:color="auto" w:fill="auto"/>
          </w:tcPr>
          <w:p w14:paraId="66EDED80">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50BD32B9">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auto"/>
          </w:tcPr>
          <w:p w14:paraId="054FBA47">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Name statistical software and package(s), including version and settings used </w:t>
            </w:r>
          </w:p>
        </w:tc>
        <w:tc>
          <w:tcPr>
            <w:tcW w:w="720" w:type="dxa"/>
          </w:tcPr>
          <w:p w14:paraId="305BB821">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5, 7</w:t>
            </w:r>
          </w:p>
        </w:tc>
        <w:tc>
          <w:tcPr>
            <w:tcW w:w="4320" w:type="dxa"/>
          </w:tcPr>
          <w:p w14:paraId="79626260">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All data analysis was performed using the TwoSampleMR software package (version 0.6.8) in R version 4.4.1 (R Foundation for Statistical Computing, Vienna, Austria) for two-sample Mendelian randomization analysis.</w:t>
            </w:r>
            <w:r>
              <w:rPr>
                <w:rFonts w:hint="eastAsia" w:eastAsia="宋体"/>
                <w:sz w:val="18"/>
                <w:szCs w:val="18"/>
                <w:lang w:val="en-US" w:eastAsia="zh-CN"/>
              </w:rPr>
              <w:t xml:space="preserve"> </w:t>
            </w:r>
            <w:r>
              <w:rPr>
                <w:rFonts w:hint="eastAsia" w:eastAsia="Times New Roman"/>
                <w:sz w:val="18"/>
                <w:szCs w:val="18"/>
                <w:lang w:val="en-GB" w:eastAsia="en-GB"/>
              </w:rPr>
              <w:t xml:space="preserve">MR-PRESSO was performed in R (version 4.4.1) using the MR-PRESSO software package (version 1.0), while the "forestplot" software package was used for graphical representation. </w:t>
            </w:r>
          </w:p>
        </w:tc>
      </w:tr>
      <w:tr w14:paraId="6A631D93">
        <w:tblPrEx>
          <w:tblCellMar>
            <w:top w:w="0" w:type="dxa"/>
            <w:left w:w="108" w:type="dxa"/>
            <w:bottom w:w="0" w:type="dxa"/>
            <w:right w:w="108" w:type="dxa"/>
          </w:tblCellMar>
        </w:tblPrEx>
        <w:tc>
          <w:tcPr>
            <w:tcW w:w="587" w:type="dxa"/>
            <w:tcBorders>
              <w:bottom w:val="single" w:color="7F7F7F" w:sz="6" w:space="0"/>
            </w:tcBorders>
            <w:shd w:val="clear" w:color="auto" w:fill="EEEEEE"/>
          </w:tcPr>
          <w:p w14:paraId="37C88958">
            <w:pPr>
              <w:spacing w:before="96" w:beforeLines="40" w:after="96" w:afterLines="40" w:line="24" w:lineRule="atLeast"/>
              <w:jc w:val="right"/>
              <w:rPr>
                <w:rFonts w:eastAsia="Cambria"/>
                <w:b/>
                <w:bCs/>
                <w:sz w:val="18"/>
                <w:szCs w:val="18"/>
                <w:lang w:val="en-GB" w:eastAsia="en-US"/>
              </w:rPr>
            </w:pPr>
          </w:p>
        </w:tc>
        <w:tc>
          <w:tcPr>
            <w:tcW w:w="1822" w:type="dxa"/>
            <w:tcBorders>
              <w:bottom w:val="single" w:color="7F7F7F" w:sz="6" w:space="0"/>
            </w:tcBorders>
            <w:shd w:val="clear" w:color="auto" w:fill="EEEEEE"/>
          </w:tcPr>
          <w:p w14:paraId="2349B556">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tcBorders>
              <w:bottom w:val="single" w:color="7F7F7F" w:sz="6" w:space="0"/>
            </w:tcBorders>
            <w:shd w:val="clear" w:color="auto" w:fill="EEEEEE"/>
          </w:tcPr>
          <w:p w14:paraId="5DBE58D7">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State whether the study protocol and details were pre-registered (as well as when and where)</w:t>
            </w:r>
          </w:p>
        </w:tc>
        <w:tc>
          <w:tcPr>
            <w:tcW w:w="720" w:type="dxa"/>
            <w:tcBorders>
              <w:bottom w:val="single" w:color="7F7F7F" w:sz="6" w:space="0"/>
            </w:tcBorders>
            <w:shd w:val="clear" w:color="auto" w:fill="EEEEEE"/>
          </w:tcPr>
          <w:p w14:paraId="2325504F">
            <w:pPr>
              <w:spacing w:before="96" w:beforeLines="40" w:after="96" w:afterLines="40" w:line="24" w:lineRule="atLeast"/>
              <w:rPr>
                <w:rFonts w:eastAsia="Times New Roman"/>
                <w:sz w:val="18"/>
                <w:szCs w:val="18"/>
                <w:lang w:val="en-GB" w:eastAsia="en-GB"/>
              </w:rPr>
            </w:pPr>
          </w:p>
        </w:tc>
        <w:tc>
          <w:tcPr>
            <w:tcW w:w="4320" w:type="dxa"/>
            <w:tcBorders>
              <w:bottom w:val="single" w:color="7F7F7F" w:sz="6" w:space="0"/>
            </w:tcBorders>
            <w:shd w:val="clear" w:color="auto" w:fill="EEEEEE"/>
          </w:tcPr>
          <w:p w14:paraId="3EFCD231">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Not pre-registered.</w:t>
            </w:r>
          </w:p>
        </w:tc>
      </w:tr>
      <w:tr w14:paraId="040F15E5">
        <w:tblPrEx>
          <w:tblCellMar>
            <w:top w:w="0" w:type="dxa"/>
            <w:left w:w="108" w:type="dxa"/>
            <w:bottom w:w="0" w:type="dxa"/>
            <w:right w:w="108" w:type="dxa"/>
          </w:tblCellMar>
        </w:tblPrEx>
        <w:tc>
          <w:tcPr>
            <w:tcW w:w="587" w:type="dxa"/>
            <w:tcBorders>
              <w:top w:val="single" w:color="7F7F7F" w:sz="6" w:space="0"/>
            </w:tcBorders>
            <w:shd w:val="clear" w:color="auto" w:fill="auto"/>
          </w:tcPr>
          <w:p w14:paraId="777278B3">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shd w:val="clear" w:color="auto" w:fill="auto"/>
          </w:tcPr>
          <w:p w14:paraId="7D8D653B">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RESULTS</w:t>
            </w:r>
          </w:p>
        </w:tc>
        <w:tc>
          <w:tcPr>
            <w:tcW w:w="7041" w:type="dxa"/>
            <w:tcBorders>
              <w:top w:val="single" w:color="7F7F7F" w:sz="6" w:space="0"/>
            </w:tcBorders>
            <w:shd w:val="clear" w:color="auto" w:fill="auto"/>
          </w:tcPr>
          <w:p w14:paraId="34719287">
            <w:pPr>
              <w:spacing w:before="96" w:beforeLines="40" w:after="96" w:afterLines="40" w:line="24" w:lineRule="atLeast"/>
              <w:rPr>
                <w:rFonts w:eastAsia="Cambria"/>
                <w:sz w:val="18"/>
                <w:szCs w:val="18"/>
                <w:lang w:val="en-GB" w:eastAsia="en-US"/>
              </w:rPr>
            </w:pPr>
          </w:p>
        </w:tc>
        <w:tc>
          <w:tcPr>
            <w:tcW w:w="720" w:type="dxa"/>
            <w:tcBorders>
              <w:top w:val="single" w:color="7F7F7F" w:sz="6" w:space="0"/>
            </w:tcBorders>
          </w:tcPr>
          <w:p w14:paraId="0E355A69">
            <w:pPr>
              <w:spacing w:before="96" w:beforeLines="40" w:after="96" w:afterLines="40" w:line="24" w:lineRule="atLeast"/>
              <w:rPr>
                <w:rFonts w:eastAsia="Cambria"/>
                <w:sz w:val="18"/>
                <w:szCs w:val="18"/>
                <w:lang w:val="en-GB" w:eastAsia="en-US"/>
              </w:rPr>
            </w:pPr>
          </w:p>
        </w:tc>
        <w:tc>
          <w:tcPr>
            <w:tcW w:w="4320" w:type="dxa"/>
            <w:tcBorders>
              <w:top w:val="single" w:color="7F7F7F" w:sz="6" w:space="0"/>
            </w:tcBorders>
          </w:tcPr>
          <w:p w14:paraId="33E956D1">
            <w:pPr>
              <w:spacing w:before="96" w:beforeLines="40" w:after="96" w:afterLines="40" w:line="24" w:lineRule="atLeast"/>
              <w:rPr>
                <w:rFonts w:eastAsia="Cambria"/>
                <w:sz w:val="18"/>
                <w:szCs w:val="18"/>
                <w:lang w:val="en-GB" w:eastAsia="en-US"/>
              </w:rPr>
            </w:pPr>
          </w:p>
        </w:tc>
      </w:tr>
      <w:tr w14:paraId="67F47EED">
        <w:tblPrEx>
          <w:tblCellMar>
            <w:top w:w="0" w:type="dxa"/>
            <w:left w:w="108" w:type="dxa"/>
            <w:bottom w:w="0" w:type="dxa"/>
            <w:right w:w="108" w:type="dxa"/>
          </w:tblCellMar>
        </w:tblPrEx>
        <w:tc>
          <w:tcPr>
            <w:tcW w:w="587" w:type="dxa"/>
            <w:shd w:val="clear" w:color="auto" w:fill="EEEEEE"/>
          </w:tcPr>
          <w:p w14:paraId="51C7A54B">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10</w:t>
            </w:r>
          </w:p>
        </w:tc>
        <w:tc>
          <w:tcPr>
            <w:tcW w:w="1822" w:type="dxa"/>
            <w:shd w:val="clear" w:color="auto" w:fill="EEEEEE"/>
          </w:tcPr>
          <w:p w14:paraId="731D0370">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Descriptive data</w:t>
            </w:r>
          </w:p>
        </w:tc>
        <w:tc>
          <w:tcPr>
            <w:tcW w:w="7041" w:type="dxa"/>
            <w:shd w:val="clear" w:color="auto" w:fill="EEEEEE"/>
          </w:tcPr>
          <w:p w14:paraId="3B19CDAF">
            <w:pPr>
              <w:spacing w:before="96" w:beforeLines="40" w:after="96" w:afterLines="40" w:line="24" w:lineRule="atLeast"/>
              <w:rPr>
                <w:rFonts w:eastAsia="Cambria"/>
                <w:sz w:val="18"/>
                <w:szCs w:val="18"/>
                <w:lang w:val="en-GB" w:eastAsia="en-US"/>
              </w:rPr>
            </w:pPr>
          </w:p>
        </w:tc>
        <w:tc>
          <w:tcPr>
            <w:tcW w:w="720" w:type="dxa"/>
            <w:shd w:val="clear" w:color="auto" w:fill="EEEEEE"/>
          </w:tcPr>
          <w:p w14:paraId="1091FF57">
            <w:pPr>
              <w:spacing w:before="96" w:beforeLines="40" w:after="96" w:afterLines="40" w:line="24" w:lineRule="atLeast"/>
              <w:rPr>
                <w:rFonts w:eastAsia="Cambria"/>
                <w:sz w:val="18"/>
                <w:szCs w:val="18"/>
                <w:lang w:val="en-GB" w:eastAsia="en-US"/>
              </w:rPr>
            </w:pPr>
          </w:p>
        </w:tc>
        <w:tc>
          <w:tcPr>
            <w:tcW w:w="4320" w:type="dxa"/>
            <w:shd w:val="clear" w:color="auto" w:fill="EEEEEE"/>
          </w:tcPr>
          <w:p w14:paraId="4B684E79">
            <w:pPr>
              <w:spacing w:before="96" w:beforeLines="40" w:after="96" w:afterLines="40" w:line="24" w:lineRule="atLeast"/>
              <w:rPr>
                <w:rFonts w:eastAsia="Cambria"/>
                <w:sz w:val="18"/>
                <w:szCs w:val="18"/>
                <w:lang w:val="en-GB" w:eastAsia="en-US"/>
              </w:rPr>
            </w:pPr>
          </w:p>
        </w:tc>
      </w:tr>
      <w:tr w14:paraId="6CA228D1">
        <w:tblPrEx>
          <w:tblCellMar>
            <w:top w:w="0" w:type="dxa"/>
            <w:left w:w="108" w:type="dxa"/>
            <w:bottom w:w="0" w:type="dxa"/>
            <w:right w:w="108" w:type="dxa"/>
          </w:tblCellMar>
        </w:tblPrEx>
        <w:tc>
          <w:tcPr>
            <w:tcW w:w="587" w:type="dxa"/>
            <w:shd w:val="clear" w:color="auto" w:fill="auto"/>
          </w:tcPr>
          <w:p w14:paraId="29B62776">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4C1499C8">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auto"/>
          </w:tcPr>
          <w:p w14:paraId="4D5C652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the numbers of individuals at each stage of included studies and reasons for exclusion. Consider use of a flow diagram</w:t>
            </w:r>
          </w:p>
        </w:tc>
        <w:tc>
          <w:tcPr>
            <w:tcW w:w="720" w:type="dxa"/>
          </w:tcPr>
          <w:p w14:paraId="7AF8CC23">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5</w:t>
            </w:r>
          </w:p>
        </w:tc>
        <w:tc>
          <w:tcPr>
            <w:tcW w:w="4320" w:type="dxa"/>
          </w:tcPr>
          <w:p w14:paraId="00D65497">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number of sample populations is provided in the methodology section, and no population information is provided in the results</w:t>
            </w:r>
            <w:r>
              <w:rPr>
                <w:rFonts w:hint="eastAsia" w:eastAsia="宋体"/>
                <w:sz w:val="18"/>
                <w:szCs w:val="18"/>
                <w:lang w:val="en-US" w:eastAsia="zh-CN"/>
              </w:rPr>
              <w:t>. T</w:t>
            </w:r>
            <w:r>
              <w:rPr>
                <w:rFonts w:hint="eastAsia" w:eastAsia="Times New Roman"/>
                <w:sz w:val="18"/>
                <w:szCs w:val="18"/>
                <w:lang w:val="en-GB" w:eastAsia="en-GB"/>
              </w:rPr>
              <w:t>hree high linkage disequilibrium SNPs (rs10938398, rs3996329, rs9937053) were excluded to avoid confounding effects and guarantee the independence of the selected SNPs. These SNPs are strongly associated direct causes of chronic gastritis (visceral fat, obesity BMI, type 2 diabetes, heart disease, neuroticism, depression, caffeine intake, sleep apnea) and have robust clinical evidence necessitating exclusion as confounding factors. Therefore, these confounding factors need to be excluded.</w:t>
            </w:r>
          </w:p>
        </w:tc>
      </w:tr>
      <w:tr w14:paraId="0765C344">
        <w:tblPrEx>
          <w:tblCellMar>
            <w:top w:w="0" w:type="dxa"/>
            <w:left w:w="108" w:type="dxa"/>
            <w:bottom w:w="0" w:type="dxa"/>
            <w:right w:w="108" w:type="dxa"/>
          </w:tblCellMar>
        </w:tblPrEx>
        <w:tc>
          <w:tcPr>
            <w:tcW w:w="587" w:type="dxa"/>
            <w:shd w:val="clear" w:color="auto" w:fill="EEEEEE"/>
          </w:tcPr>
          <w:p w14:paraId="2404BFFB">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545C2F1">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405491AF">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Report summary statistics for phenotypic exposure(s), outcome(s), and other relevant variables (e.g. means, SDs, proportions)</w:t>
            </w:r>
          </w:p>
        </w:tc>
        <w:tc>
          <w:tcPr>
            <w:tcW w:w="720" w:type="dxa"/>
            <w:shd w:val="clear" w:color="auto" w:fill="EEEEEE"/>
          </w:tcPr>
          <w:p w14:paraId="03BBA613">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7</w:t>
            </w:r>
          </w:p>
        </w:tc>
        <w:tc>
          <w:tcPr>
            <w:tcW w:w="4320" w:type="dxa"/>
            <w:shd w:val="clear" w:color="auto" w:fill="EEEEEE"/>
          </w:tcPr>
          <w:p w14:paraId="0FD9D468">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Through two-sample MR analysis, we identified significant bidirectional causal relationships between sleep apnea syndrome (SAS) and chronic gastritis (forward: OR = 1.131, 95% CI: 1.031-1.240, p = 0.009; reverse: OR = 1.065, 95% CI: 1.007-1.128, p = 0.028).The information is presented in detail in a supplementary table</w:t>
            </w:r>
            <w:r>
              <w:rPr>
                <w:rFonts w:hint="eastAsia" w:eastAsia="宋体"/>
                <w:sz w:val="18"/>
                <w:szCs w:val="18"/>
                <w:lang w:val="en-US" w:eastAsia="zh-CN"/>
              </w:rPr>
              <w:t>.</w:t>
            </w:r>
          </w:p>
        </w:tc>
      </w:tr>
      <w:tr w14:paraId="48F10342">
        <w:tblPrEx>
          <w:tblCellMar>
            <w:top w:w="0" w:type="dxa"/>
            <w:left w:w="108" w:type="dxa"/>
            <w:bottom w:w="0" w:type="dxa"/>
            <w:right w:w="108" w:type="dxa"/>
          </w:tblCellMar>
        </w:tblPrEx>
        <w:tc>
          <w:tcPr>
            <w:tcW w:w="587" w:type="dxa"/>
            <w:shd w:val="clear" w:color="auto" w:fill="auto"/>
          </w:tcPr>
          <w:p w14:paraId="6600AF43">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435099F2">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auto"/>
          </w:tcPr>
          <w:p w14:paraId="062EB561">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If the data sources include meta-analyses of previous studies, provide the assessments of heterogeneity across these studies</w:t>
            </w:r>
          </w:p>
        </w:tc>
        <w:tc>
          <w:tcPr>
            <w:tcW w:w="720" w:type="dxa"/>
          </w:tcPr>
          <w:p w14:paraId="10F6EF39">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10</w:t>
            </w:r>
          </w:p>
        </w:tc>
        <w:tc>
          <w:tcPr>
            <w:tcW w:w="4320" w:type="dxa"/>
          </w:tcPr>
          <w:p w14:paraId="449D40FD">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In the heterogeneity test, the P-value of Cochran’s Q was greater than 0.05, indicating the absence of significant heterogeneity.</w:t>
            </w:r>
          </w:p>
        </w:tc>
      </w:tr>
      <w:tr w14:paraId="51930A8C">
        <w:tblPrEx>
          <w:tblCellMar>
            <w:top w:w="0" w:type="dxa"/>
            <w:left w:w="108" w:type="dxa"/>
            <w:bottom w:w="0" w:type="dxa"/>
            <w:right w:w="108" w:type="dxa"/>
          </w:tblCellMar>
        </w:tblPrEx>
        <w:tc>
          <w:tcPr>
            <w:tcW w:w="587" w:type="dxa"/>
            <w:shd w:val="clear" w:color="auto" w:fill="EEEEEE"/>
          </w:tcPr>
          <w:p w14:paraId="6116DD95">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453F7877">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EEEEEE"/>
          </w:tcPr>
          <w:p w14:paraId="2EFD572E">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 xml:space="preserve">For </w:t>
            </w:r>
            <w:r>
              <w:rPr>
                <w:rFonts w:eastAsia="Times New Roman"/>
                <w:iCs/>
                <w:sz w:val="18"/>
                <w:szCs w:val="18"/>
                <w:lang w:val="en-GB" w:eastAsia="en-GB"/>
              </w:rPr>
              <w:t>two-sample</w:t>
            </w:r>
            <w:r>
              <w:rPr>
                <w:rFonts w:eastAsia="Times New Roman"/>
                <w:sz w:val="18"/>
                <w:szCs w:val="18"/>
                <w:lang w:val="en-GB" w:eastAsia="en-GB"/>
              </w:rPr>
              <w:t xml:space="preserve"> MR:</w:t>
            </w:r>
          </w:p>
          <w:p w14:paraId="48065368">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 xml:space="preserve">   i.  Provide justification of the similarity of the genetic variant-exposure associations between the exposure and outcome samples</w:t>
            </w:r>
          </w:p>
          <w:p w14:paraId="35BA9280">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 xml:space="preserve">   ii.  Provide information on the number of individuals who overlap between the exposure and outcome studies</w:t>
            </w:r>
          </w:p>
        </w:tc>
        <w:tc>
          <w:tcPr>
            <w:tcW w:w="720" w:type="dxa"/>
            <w:shd w:val="clear" w:color="auto" w:fill="EEEEEE"/>
          </w:tcPr>
          <w:p w14:paraId="4948EE3D">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8</w:t>
            </w:r>
          </w:p>
        </w:tc>
        <w:tc>
          <w:tcPr>
            <w:tcW w:w="4320" w:type="dxa"/>
            <w:shd w:val="clear" w:color="auto" w:fill="EEEEEE"/>
          </w:tcPr>
          <w:p w14:paraId="5B2A1A71">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article is part of a two-sample Mendelian randomization. In the article it is stated that the sample populations are all from Europe and therefore have little ethnospecificity. MRlap analysis confirmed minimal overlap impact (p_different &gt; 0.05).MRlap analysis confirmed minimal overlap impact (p_different &gt; 0.05).</w:t>
            </w:r>
          </w:p>
        </w:tc>
      </w:tr>
      <w:tr w14:paraId="52CFCA59">
        <w:tblPrEx>
          <w:tblCellMar>
            <w:top w:w="0" w:type="dxa"/>
            <w:left w:w="108" w:type="dxa"/>
            <w:bottom w:w="0" w:type="dxa"/>
            <w:right w:w="108" w:type="dxa"/>
          </w:tblCellMar>
        </w:tblPrEx>
        <w:tc>
          <w:tcPr>
            <w:tcW w:w="587" w:type="dxa"/>
            <w:shd w:val="clear" w:color="auto" w:fill="auto"/>
          </w:tcPr>
          <w:p w14:paraId="110872BB">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11</w:t>
            </w:r>
          </w:p>
        </w:tc>
        <w:tc>
          <w:tcPr>
            <w:tcW w:w="1822" w:type="dxa"/>
            <w:shd w:val="clear" w:color="auto" w:fill="auto"/>
          </w:tcPr>
          <w:p w14:paraId="0C26298F">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Main results</w:t>
            </w:r>
          </w:p>
        </w:tc>
        <w:tc>
          <w:tcPr>
            <w:tcW w:w="7041" w:type="dxa"/>
            <w:shd w:val="clear" w:color="auto" w:fill="auto"/>
          </w:tcPr>
          <w:p w14:paraId="2F14FA37">
            <w:pPr>
              <w:spacing w:before="96" w:beforeLines="40" w:after="96" w:afterLines="40" w:line="24" w:lineRule="atLeast"/>
              <w:rPr>
                <w:rFonts w:eastAsia="Cambria"/>
                <w:sz w:val="18"/>
                <w:szCs w:val="18"/>
                <w:lang w:val="en-GB" w:eastAsia="en-US"/>
              </w:rPr>
            </w:pPr>
          </w:p>
        </w:tc>
        <w:tc>
          <w:tcPr>
            <w:tcW w:w="720" w:type="dxa"/>
          </w:tcPr>
          <w:p w14:paraId="035B3367">
            <w:pPr>
              <w:spacing w:before="96" w:beforeLines="40" w:after="96" w:afterLines="40" w:line="24" w:lineRule="atLeast"/>
              <w:rPr>
                <w:rFonts w:eastAsia="Cambria"/>
                <w:sz w:val="18"/>
                <w:szCs w:val="18"/>
                <w:lang w:val="en-GB" w:eastAsia="en-US"/>
              </w:rPr>
            </w:pPr>
          </w:p>
        </w:tc>
        <w:tc>
          <w:tcPr>
            <w:tcW w:w="4320" w:type="dxa"/>
          </w:tcPr>
          <w:p w14:paraId="0AFA0083">
            <w:pPr>
              <w:spacing w:before="96" w:beforeLines="40" w:after="96" w:afterLines="40" w:line="24" w:lineRule="atLeast"/>
              <w:rPr>
                <w:rFonts w:eastAsia="Cambria"/>
                <w:sz w:val="18"/>
                <w:szCs w:val="18"/>
                <w:lang w:val="en-GB" w:eastAsia="en-US"/>
              </w:rPr>
            </w:pPr>
          </w:p>
        </w:tc>
      </w:tr>
      <w:tr w14:paraId="56845A2A">
        <w:tblPrEx>
          <w:tblCellMar>
            <w:top w:w="0" w:type="dxa"/>
            <w:left w:w="108" w:type="dxa"/>
            <w:bottom w:w="0" w:type="dxa"/>
            <w:right w:w="108" w:type="dxa"/>
          </w:tblCellMar>
        </w:tblPrEx>
        <w:tc>
          <w:tcPr>
            <w:tcW w:w="587" w:type="dxa"/>
            <w:shd w:val="clear" w:color="auto" w:fill="EEEEEE"/>
          </w:tcPr>
          <w:p w14:paraId="0892A548">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7CDB72AD">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EEEEEE"/>
          </w:tcPr>
          <w:p w14:paraId="09CB478B">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the associations between genetic variant and exposure, and between genetic variant and outcome, preferably on an interpretable scale</w:t>
            </w:r>
          </w:p>
        </w:tc>
        <w:tc>
          <w:tcPr>
            <w:tcW w:w="720" w:type="dxa"/>
            <w:shd w:val="clear" w:color="auto" w:fill="EEEEEE"/>
          </w:tcPr>
          <w:p w14:paraId="7F1B8B69">
            <w:pPr>
              <w:spacing w:before="96" w:beforeLines="40" w:after="96" w:afterLines="40" w:line="24" w:lineRule="atLeast"/>
              <w:rPr>
                <w:rFonts w:eastAsia="Times New Roman"/>
                <w:sz w:val="18"/>
                <w:szCs w:val="18"/>
                <w:lang w:val="en-GB" w:eastAsia="en-GB"/>
              </w:rPr>
            </w:pPr>
          </w:p>
        </w:tc>
        <w:tc>
          <w:tcPr>
            <w:tcW w:w="4320" w:type="dxa"/>
            <w:shd w:val="clear" w:color="auto" w:fill="EEEEEE"/>
          </w:tcPr>
          <w:p w14:paraId="7BCA1C07">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Supplementary Tabl</w:t>
            </w:r>
            <w:r>
              <w:rPr>
                <w:rFonts w:hint="eastAsia" w:eastAsia="宋体"/>
                <w:sz w:val="18"/>
                <w:szCs w:val="18"/>
                <w:lang w:val="en-US" w:eastAsia="zh-CN"/>
              </w:rPr>
              <w:t xml:space="preserve">es have reported </w:t>
            </w:r>
            <w:bookmarkStart w:id="0" w:name="_GoBack"/>
            <w:bookmarkEnd w:id="0"/>
            <w:r>
              <w:rPr>
                <w:rFonts w:hint="eastAsia" w:eastAsia="Times New Roman"/>
                <w:sz w:val="18"/>
                <w:szCs w:val="18"/>
                <w:lang w:val="en-GB" w:eastAsia="en-GB"/>
              </w:rPr>
              <w:t>SNP list with effect alleles, β, SE, p-values.</w:t>
            </w:r>
          </w:p>
        </w:tc>
      </w:tr>
      <w:tr w14:paraId="2FAEFE68">
        <w:tblPrEx>
          <w:tblCellMar>
            <w:top w:w="0" w:type="dxa"/>
            <w:left w:w="108" w:type="dxa"/>
            <w:bottom w:w="0" w:type="dxa"/>
            <w:right w:w="108" w:type="dxa"/>
          </w:tblCellMar>
        </w:tblPrEx>
        <w:tc>
          <w:tcPr>
            <w:tcW w:w="587" w:type="dxa"/>
            <w:shd w:val="clear" w:color="auto" w:fill="auto"/>
          </w:tcPr>
          <w:p w14:paraId="2E83DFB7">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142A3CE2">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auto"/>
          </w:tcPr>
          <w:p w14:paraId="336E75EE">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MR estimates of the relationship between exposure and outcome, and the measures of uncertainty from the MR analysis, on an interpretable scale, such as odds ratio or relative risk per SD difference</w:t>
            </w:r>
          </w:p>
        </w:tc>
        <w:tc>
          <w:tcPr>
            <w:tcW w:w="720" w:type="dxa"/>
          </w:tcPr>
          <w:p w14:paraId="1E1B567F">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7</w:t>
            </w:r>
          </w:p>
        </w:tc>
        <w:tc>
          <w:tcPr>
            <w:tcW w:w="4320" w:type="dxa"/>
          </w:tcPr>
          <w:p w14:paraId="4564CEDB">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The article reports this in the results section</w:t>
            </w:r>
            <w:r>
              <w:rPr>
                <w:rFonts w:hint="eastAsia" w:eastAsia="宋体"/>
                <w:sz w:val="18"/>
                <w:szCs w:val="18"/>
                <w:lang w:val="en-US" w:eastAsia="zh-CN"/>
              </w:rPr>
              <w:t>:</w:t>
            </w:r>
            <w:r>
              <w:rPr>
                <w:rFonts w:hint="eastAsia" w:eastAsia="Times New Roman"/>
                <w:sz w:val="18"/>
                <w:szCs w:val="18"/>
                <w:lang w:val="en-GB" w:eastAsia="en-GB"/>
              </w:rPr>
              <w:t xml:space="preserve"> </w:t>
            </w:r>
            <w:r>
              <w:rPr>
                <w:rFonts w:hint="default" w:eastAsia="宋体"/>
                <w:sz w:val="18"/>
                <w:szCs w:val="18"/>
                <w:lang w:val="en-US" w:eastAsia="zh-CN"/>
              </w:rPr>
              <w:t>“</w:t>
            </w:r>
            <w:r>
              <w:rPr>
                <w:rFonts w:hint="eastAsia" w:eastAsia="Times New Roman"/>
                <w:sz w:val="18"/>
                <w:szCs w:val="18"/>
                <w:lang w:val="en-GB" w:eastAsia="en-GB"/>
              </w:rPr>
              <w:t>forward: OR = 1.131, 95% CI: 1.031-1.240, p = 0.009; reverse: OR = 1.065, 95% CI: 1.007-1.128, p = 0.028).</w:t>
            </w:r>
            <w:r>
              <w:rPr>
                <w:rFonts w:hint="default" w:eastAsia="宋体"/>
                <w:sz w:val="18"/>
                <w:szCs w:val="18"/>
                <w:lang w:val="en-US" w:eastAsia="zh-CN"/>
              </w:rPr>
              <w:t>”</w:t>
            </w:r>
          </w:p>
        </w:tc>
      </w:tr>
      <w:tr w14:paraId="1FAC379E">
        <w:tblPrEx>
          <w:tblCellMar>
            <w:top w:w="0" w:type="dxa"/>
            <w:left w:w="108" w:type="dxa"/>
            <w:bottom w:w="0" w:type="dxa"/>
            <w:right w:w="108" w:type="dxa"/>
          </w:tblCellMar>
        </w:tblPrEx>
        <w:tc>
          <w:tcPr>
            <w:tcW w:w="587" w:type="dxa"/>
            <w:shd w:val="clear" w:color="auto" w:fill="EEEEEE"/>
          </w:tcPr>
          <w:p w14:paraId="6762B88A">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514E8164">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EEEEEE"/>
          </w:tcPr>
          <w:p w14:paraId="4BC6AB73">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If relevant, consider translating estimates of relative risk into absolute risk for a meaningful time period</w:t>
            </w:r>
          </w:p>
        </w:tc>
        <w:tc>
          <w:tcPr>
            <w:tcW w:w="720" w:type="dxa"/>
            <w:shd w:val="clear" w:color="auto" w:fill="EEEEEE"/>
          </w:tcPr>
          <w:p w14:paraId="326BA5CA">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5</w:t>
            </w:r>
          </w:p>
        </w:tc>
        <w:tc>
          <w:tcPr>
            <w:tcW w:w="4320" w:type="dxa"/>
            <w:shd w:val="clear" w:color="auto" w:fill="EEEEEE"/>
          </w:tcPr>
          <w:p w14:paraId="4A2216FF">
            <w:pPr>
              <w:spacing w:before="96" w:beforeLines="40" w:after="96" w:afterLines="40" w:line="24" w:lineRule="atLeast"/>
              <w:rPr>
                <w:rFonts w:hint="eastAsia" w:eastAsia="宋体"/>
                <w:sz w:val="18"/>
                <w:szCs w:val="18"/>
                <w:lang w:val="en-US" w:eastAsia="zh-CN"/>
              </w:rPr>
            </w:pPr>
            <w:r>
              <w:rPr>
                <w:rFonts w:hint="default" w:eastAsia="宋体"/>
                <w:sz w:val="18"/>
                <w:szCs w:val="18"/>
                <w:lang w:val="en-US" w:eastAsia="zh-CN"/>
              </w:rPr>
              <w:t>The article reports risk factors such as obesity</w:t>
            </w:r>
            <w:r>
              <w:rPr>
                <w:rFonts w:hint="eastAsia" w:eastAsia="宋体"/>
                <w:sz w:val="18"/>
                <w:szCs w:val="18"/>
                <w:lang w:val="en-US" w:eastAsia="zh-CN"/>
              </w:rPr>
              <w:t xml:space="preserve">, </w:t>
            </w:r>
            <w:r>
              <w:rPr>
                <w:rFonts w:hint="eastAsia" w:eastAsia="Times New Roman"/>
                <w:sz w:val="18"/>
                <w:szCs w:val="18"/>
                <w:lang w:val="en-GB" w:eastAsia="en-GB"/>
              </w:rPr>
              <w:t>type 2 diabetes, heart disease, neuroticism, depression, caffeine intake</w:t>
            </w:r>
            <w:r>
              <w:rPr>
                <w:rFonts w:hint="eastAsia" w:eastAsia="宋体"/>
                <w:sz w:val="18"/>
                <w:szCs w:val="18"/>
                <w:lang w:val="en-US" w:eastAsia="zh-CN"/>
              </w:rPr>
              <w:t>.</w:t>
            </w:r>
          </w:p>
        </w:tc>
      </w:tr>
      <w:tr w14:paraId="00F87C74">
        <w:tblPrEx>
          <w:tblCellMar>
            <w:top w:w="0" w:type="dxa"/>
            <w:left w:w="108" w:type="dxa"/>
            <w:bottom w:w="0" w:type="dxa"/>
            <w:right w:w="108" w:type="dxa"/>
          </w:tblCellMar>
        </w:tblPrEx>
        <w:tc>
          <w:tcPr>
            <w:tcW w:w="587" w:type="dxa"/>
            <w:shd w:val="clear" w:color="auto" w:fill="auto"/>
          </w:tcPr>
          <w:p w14:paraId="2CDE5DE6">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69C50E8E">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auto"/>
          </w:tcPr>
          <w:p w14:paraId="47CC3ACC">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Consider plots to visualize results (e.g. forest plot, scatterplot of associations between genetic variants and outcome versus between genetic variants and exposure)</w:t>
            </w:r>
          </w:p>
        </w:tc>
        <w:tc>
          <w:tcPr>
            <w:tcW w:w="720" w:type="dxa"/>
          </w:tcPr>
          <w:p w14:paraId="777DAC23">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9</w:t>
            </w:r>
          </w:p>
        </w:tc>
        <w:tc>
          <w:tcPr>
            <w:tcW w:w="4320" w:type="dxa"/>
          </w:tcPr>
          <w:p w14:paraId="7B9F0A4D">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article presents a causal relationship between chronic gastritis and SAS using a forest plot, also visualized using a scatterplot</w:t>
            </w:r>
            <w:r>
              <w:rPr>
                <w:rFonts w:hint="eastAsia" w:eastAsia="宋体"/>
                <w:sz w:val="18"/>
                <w:szCs w:val="18"/>
                <w:lang w:val="en-US" w:eastAsia="zh-CN"/>
              </w:rPr>
              <w:t>.</w:t>
            </w:r>
          </w:p>
        </w:tc>
      </w:tr>
      <w:tr w14:paraId="62E6DFEA">
        <w:tblPrEx>
          <w:tblCellMar>
            <w:top w:w="0" w:type="dxa"/>
            <w:left w:w="108" w:type="dxa"/>
            <w:bottom w:w="0" w:type="dxa"/>
            <w:right w:w="108" w:type="dxa"/>
          </w:tblCellMar>
        </w:tblPrEx>
        <w:tc>
          <w:tcPr>
            <w:tcW w:w="587" w:type="dxa"/>
            <w:shd w:val="clear" w:color="auto" w:fill="EEEEEE"/>
          </w:tcPr>
          <w:p w14:paraId="57CB2789">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12</w:t>
            </w:r>
          </w:p>
        </w:tc>
        <w:tc>
          <w:tcPr>
            <w:tcW w:w="1822" w:type="dxa"/>
            <w:shd w:val="clear" w:color="auto" w:fill="EEEEEE"/>
          </w:tcPr>
          <w:p w14:paraId="27B891DB">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Assessment of assumptions</w:t>
            </w:r>
          </w:p>
        </w:tc>
        <w:tc>
          <w:tcPr>
            <w:tcW w:w="7041" w:type="dxa"/>
            <w:shd w:val="clear" w:color="auto" w:fill="EEEEEE"/>
          </w:tcPr>
          <w:p w14:paraId="6EC050C1">
            <w:pPr>
              <w:spacing w:before="96" w:beforeLines="40" w:after="96" w:afterLines="40" w:line="24" w:lineRule="atLeast"/>
              <w:rPr>
                <w:rFonts w:eastAsia="Cambria"/>
                <w:sz w:val="18"/>
                <w:szCs w:val="18"/>
                <w:lang w:val="en-GB" w:eastAsia="en-US"/>
              </w:rPr>
            </w:pPr>
          </w:p>
        </w:tc>
        <w:tc>
          <w:tcPr>
            <w:tcW w:w="720" w:type="dxa"/>
            <w:shd w:val="clear" w:color="auto" w:fill="EEEEEE"/>
          </w:tcPr>
          <w:p w14:paraId="3871A389">
            <w:pPr>
              <w:spacing w:before="96" w:beforeLines="40" w:after="96" w:afterLines="40" w:line="24" w:lineRule="atLeast"/>
              <w:rPr>
                <w:rFonts w:eastAsia="Cambria"/>
                <w:sz w:val="18"/>
                <w:szCs w:val="18"/>
                <w:lang w:val="en-GB" w:eastAsia="en-US"/>
              </w:rPr>
            </w:pPr>
          </w:p>
        </w:tc>
        <w:tc>
          <w:tcPr>
            <w:tcW w:w="4320" w:type="dxa"/>
            <w:shd w:val="clear" w:color="auto" w:fill="EEEEEE"/>
          </w:tcPr>
          <w:p w14:paraId="10C8ADE2">
            <w:pPr>
              <w:spacing w:before="96" w:beforeLines="40" w:after="96" w:afterLines="40" w:line="24" w:lineRule="atLeast"/>
              <w:rPr>
                <w:rFonts w:eastAsia="Cambria"/>
                <w:sz w:val="18"/>
                <w:szCs w:val="18"/>
                <w:lang w:val="en-GB" w:eastAsia="en-US"/>
              </w:rPr>
            </w:pPr>
          </w:p>
        </w:tc>
      </w:tr>
      <w:tr w14:paraId="48EE0AFA">
        <w:tblPrEx>
          <w:tblCellMar>
            <w:top w:w="0" w:type="dxa"/>
            <w:left w:w="108" w:type="dxa"/>
            <w:bottom w:w="0" w:type="dxa"/>
            <w:right w:w="108" w:type="dxa"/>
          </w:tblCellMar>
        </w:tblPrEx>
        <w:tc>
          <w:tcPr>
            <w:tcW w:w="587" w:type="dxa"/>
            <w:shd w:val="clear" w:color="auto" w:fill="auto"/>
          </w:tcPr>
          <w:p w14:paraId="4E29121D">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18A8B0EA">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auto"/>
          </w:tcPr>
          <w:p w14:paraId="1A97B456">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the assessment of the validity of the assumptions</w:t>
            </w:r>
          </w:p>
        </w:tc>
        <w:tc>
          <w:tcPr>
            <w:tcW w:w="720" w:type="dxa"/>
          </w:tcPr>
          <w:p w14:paraId="6E2D56F0">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7</w:t>
            </w:r>
          </w:p>
        </w:tc>
        <w:tc>
          <w:tcPr>
            <w:tcW w:w="4320" w:type="dxa"/>
          </w:tcPr>
          <w:p w14:paraId="5E7081D1">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 xml:space="preserve">The article reports the results of the assessment of the validity of the hypotheses of interest in several places throughout the text, reporting the statistical validity of the instrumental variables in each association, with the results expressed as F-statistic values. Heterogeneity of the statistical model was tested with the Colgate statistic to assess its stabilityThe article reports the results of the assessment of the validity of the hypotheses of interest in several places throughout the text, reporting the statistical validity of the instrumental variables in each association, with the results expressed as F-statistic values. Heterogeneity of the statistical model was tested with the </w:t>
            </w:r>
            <w:r>
              <w:rPr>
                <w:rFonts w:hint="eastAsia" w:eastAsia="Times New Roman"/>
                <w:sz w:val="18"/>
                <w:szCs w:val="18"/>
                <w:lang w:val="en-GB" w:eastAsia="en-GB"/>
              </w:rPr>
              <w:t xml:space="preserve">Cochran’s Q </w:t>
            </w:r>
            <w:r>
              <w:rPr>
                <w:rFonts w:hint="eastAsia" w:eastAsia="Times New Roman"/>
                <w:sz w:val="18"/>
                <w:szCs w:val="18"/>
                <w:lang w:val="en-GB" w:eastAsia="en-GB"/>
              </w:rPr>
              <w:t xml:space="preserve"> statistic to assess its stability</w:t>
            </w:r>
            <w:r>
              <w:rPr>
                <w:rFonts w:hint="eastAsia" w:eastAsia="宋体"/>
                <w:sz w:val="18"/>
                <w:szCs w:val="18"/>
                <w:lang w:val="en-US" w:eastAsia="zh-CN"/>
              </w:rPr>
              <w:t>.</w:t>
            </w:r>
            <w:r>
              <w:rPr>
                <w:rFonts w:hint="eastAsia" w:eastAsia="Times New Roman"/>
                <w:sz w:val="18"/>
                <w:szCs w:val="18"/>
                <w:lang w:val="en-GB" w:eastAsia="en-GB"/>
              </w:rPr>
              <w:t xml:space="preserve"> </w:t>
            </w:r>
          </w:p>
        </w:tc>
      </w:tr>
      <w:tr w14:paraId="7BDA55CD">
        <w:tblPrEx>
          <w:tblCellMar>
            <w:top w:w="0" w:type="dxa"/>
            <w:left w:w="108" w:type="dxa"/>
            <w:bottom w:w="0" w:type="dxa"/>
            <w:right w:w="108" w:type="dxa"/>
          </w:tblCellMar>
        </w:tblPrEx>
        <w:tc>
          <w:tcPr>
            <w:tcW w:w="587" w:type="dxa"/>
            <w:shd w:val="clear" w:color="auto" w:fill="EEEEEE"/>
          </w:tcPr>
          <w:p w14:paraId="6F27FA73">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BC0019D">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400ADD58">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 xml:space="preserve">Report any additional statistics (e.g., assessments of heterogeneity </w:t>
            </w:r>
            <w:r>
              <w:rPr>
                <w:rFonts w:eastAsia="Times New Roman"/>
                <w:sz w:val="18"/>
                <w:szCs w:val="18"/>
                <w:lang w:eastAsia="en-GB"/>
              </w:rPr>
              <w:t>across genetic variants</w:t>
            </w:r>
            <w:r>
              <w:rPr>
                <w:rFonts w:eastAsia="Times New Roman"/>
                <w:sz w:val="18"/>
                <w:szCs w:val="18"/>
                <w:lang w:val="en-GB" w:eastAsia="en-GB"/>
              </w:rPr>
              <w:t xml:space="preserve">, such as </w:t>
            </w:r>
            <w:r>
              <w:rPr>
                <w:rFonts w:eastAsia="Times New Roman"/>
                <w:i/>
                <w:sz w:val="18"/>
                <w:szCs w:val="18"/>
                <w:lang w:val="en-GB" w:eastAsia="en-GB"/>
              </w:rPr>
              <w:t>I</w:t>
            </w:r>
            <w:r>
              <w:rPr>
                <w:rFonts w:eastAsia="Times New Roman"/>
                <w:i/>
                <w:sz w:val="18"/>
                <w:szCs w:val="18"/>
                <w:vertAlign w:val="superscript"/>
                <w:lang w:val="en-GB" w:eastAsia="en-GB"/>
              </w:rPr>
              <w:t>2</w:t>
            </w:r>
            <w:r>
              <w:rPr>
                <w:rFonts w:eastAsia="Times New Roman"/>
                <w:sz w:val="18"/>
                <w:szCs w:val="18"/>
                <w:lang w:val="en-GB" w:eastAsia="en-GB"/>
              </w:rPr>
              <w:t>, Q statistic or E-value)</w:t>
            </w:r>
          </w:p>
        </w:tc>
        <w:tc>
          <w:tcPr>
            <w:tcW w:w="720" w:type="dxa"/>
            <w:shd w:val="clear" w:color="auto" w:fill="EEEEEE"/>
          </w:tcPr>
          <w:p w14:paraId="2D6E39C6">
            <w:pPr>
              <w:spacing w:before="96" w:beforeLines="40" w:after="96" w:afterLines="40" w:line="24" w:lineRule="atLeast"/>
              <w:rPr>
                <w:rFonts w:eastAsia="Times New Roman"/>
                <w:sz w:val="18"/>
                <w:szCs w:val="18"/>
                <w:lang w:val="en-GB" w:eastAsia="en-GB"/>
              </w:rPr>
            </w:pPr>
          </w:p>
        </w:tc>
        <w:tc>
          <w:tcPr>
            <w:tcW w:w="4320" w:type="dxa"/>
            <w:shd w:val="clear" w:color="auto" w:fill="EEEEEE"/>
          </w:tcPr>
          <w:p w14:paraId="205C4ED8">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 xml:space="preserve">The results of </w:t>
            </w:r>
            <w:r>
              <w:rPr>
                <w:rFonts w:hint="eastAsia" w:eastAsia="Times New Roman"/>
                <w:sz w:val="18"/>
                <w:szCs w:val="18"/>
                <w:lang w:val="en-GB" w:eastAsia="en-GB"/>
              </w:rPr>
              <w:t>Cochran’s Q  statistic</w:t>
            </w:r>
            <w:r>
              <w:rPr>
                <w:rFonts w:hint="eastAsia" w:eastAsia="Times New Roman"/>
                <w:sz w:val="18"/>
                <w:szCs w:val="18"/>
                <w:lang w:val="en-GB" w:eastAsia="en-GB"/>
              </w:rPr>
              <w:t xml:space="preserve"> are presented in the supplementary material</w:t>
            </w:r>
            <w:r>
              <w:rPr>
                <w:rFonts w:hint="eastAsia" w:eastAsia="宋体"/>
                <w:sz w:val="18"/>
                <w:szCs w:val="18"/>
                <w:lang w:val="en-US" w:eastAsia="zh-CN"/>
              </w:rPr>
              <w:t>.</w:t>
            </w:r>
          </w:p>
        </w:tc>
      </w:tr>
      <w:tr w14:paraId="23F1C43D">
        <w:tblPrEx>
          <w:tblCellMar>
            <w:top w:w="0" w:type="dxa"/>
            <w:left w:w="108" w:type="dxa"/>
            <w:bottom w:w="0" w:type="dxa"/>
            <w:right w:w="108" w:type="dxa"/>
          </w:tblCellMar>
        </w:tblPrEx>
        <w:tc>
          <w:tcPr>
            <w:tcW w:w="587" w:type="dxa"/>
            <w:shd w:val="clear" w:color="auto" w:fill="auto"/>
          </w:tcPr>
          <w:p w14:paraId="021A9BB4">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13</w:t>
            </w:r>
          </w:p>
        </w:tc>
        <w:tc>
          <w:tcPr>
            <w:tcW w:w="1822" w:type="dxa"/>
            <w:shd w:val="clear" w:color="auto" w:fill="auto"/>
          </w:tcPr>
          <w:p w14:paraId="51D3F02D">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Sensitivity analyses and additional analyses</w:t>
            </w:r>
          </w:p>
        </w:tc>
        <w:tc>
          <w:tcPr>
            <w:tcW w:w="7041" w:type="dxa"/>
            <w:shd w:val="clear" w:color="auto" w:fill="auto"/>
          </w:tcPr>
          <w:p w14:paraId="4AB1D97F">
            <w:pPr>
              <w:spacing w:before="96" w:beforeLines="40" w:after="96" w:afterLines="40" w:line="24" w:lineRule="atLeast"/>
              <w:rPr>
                <w:rFonts w:eastAsia="Cambria"/>
                <w:sz w:val="18"/>
                <w:szCs w:val="18"/>
                <w:lang w:val="en-GB" w:eastAsia="en-US"/>
              </w:rPr>
            </w:pPr>
          </w:p>
        </w:tc>
        <w:tc>
          <w:tcPr>
            <w:tcW w:w="720" w:type="dxa"/>
          </w:tcPr>
          <w:p w14:paraId="50481D19">
            <w:pPr>
              <w:spacing w:before="96" w:beforeLines="40" w:after="96" w:afterLines="40" w:line="24" w:lineRule="atLeast"/>
              <w:rPr>
                <w:rFonts w:eastAsia="Cambria"/>
                <w:sz w:val="18"/>
                <w:szCs w:val="18"/>
                <w:lang w:val="en-GB" w:eastAsia="en-US"/>
              </w:rPr>
            </w:pPr>
          </w:p>
        </w:tc>
        <w:tc>
          <w:tcPr>
            <w:tcW w:w="4320" w:type="dxa"/>
          </w:tcPr>
          <w:p w14:paraId="0F2C43F0">
            <w:pPr>
              <w:spacing w:before="96" w:beforeLines="40" w:after="96" w:afterLines="40" w:line="24" w:lineRule="atLeast"/>
              <w:rPr>
                <w:rFonts w:eastAsia="Cambria"/>
                <w:sz w:val="18"/>
                <w:szCs w:val="18"/>
                <w:lang w:val="en-GB" w:eastAsia="en-US"/>
              </w:rPr>
            </w:pPr>
          </w:p>
        </w:tc>
      </w:tr>
      <w:tr w14:paraId="1ABE2F1D">
        <w:tblPrEx>
          <w:tblCellMar>
            <w:top w:w="0" w:type="dxa"/>
            <w:left w:w="108" w:type="dxa"/>
            <w:bottom w:w="0" w:type="dxa"/>
            <w:right w:w="108" w:type="dxa"/>
          </w:tblCellMar>
        </w:tblPrEx>
        <w:tc>
          <w:tcPr>
            <w:tcW w:w="587" w:type="dxa"/>
            <w:shd w:val="clear" w:color="auto" w:fill="EEEEEE"/>
          </w:tcPr>
          <w:p w14:paraId="0D022F9B">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27E8FFD0">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EEEEEE"/>
          </w:tcPr>
          <w:p w14:paraId="30AA9260">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any sensitivity analyses to assess the robustness of the main results to violations of the assumptions</w:t>
            </w:r>
          </w:p>
        </w:tc>
        <w:tc>
          <w:tcPr>
            <w:tcW w:w="720" w:type="dxa"/>
            <w:shd w:val="clear" w:color="auto" w:fill="EEEEEE"/>
          </w:tcPr>
          <w:p w14:paraId="39DB2F0E">
            <w:pPr>
              <w:spacing w:before="96" w:beforeLines="40" w:after="96" w:afterLines="40" w:line="24" w:lineRule="atLeast"/>
              <w:rPr>
                <w:rFonts w:hint="eastAsia" w:eastAsia="宋体"/>
                <w:sz w:val="18"/>
                <w:szCs w:val="18"/>
                <w:lang w:val="en-US" w:eastAsia="zh-CN"/>
              </w:rPr>
            </w:pPr>
            <w:r>
              <w:rPr>
                <w:rFonts w:hint="eastAsia" w:eastAsia="宋体"/>
                <w:sz w:val="18"/>
                <w:szCs w:val="18"/>
                <w:lang w:val="en-US" w:eastAsia="zh-CN"/>
              </w:rPr>
              <w:t>8</w:t>
            </w:r>
          </w:p>
        </w:tc>
        <w:tc>
          <w:tcPr>
            <w:tcW w:w="4320" w:type="dxa"/>
            <w:shd w:val="clear" w:color="auto" w:fill="EEEEEE"/>
          </w:tcPr>
          <w:p w14:paraId="73386906">
            <w:pPr>
              <w:spacing w:before="96" w:beforeLines="40" w:after="96" w:afterLines="40" w:line="24" w:lineRule="atLeast"/>
              <w:rPr>
                <w:rFonts w:hint="default" w:eastAsia="宋体"/>
                <w:sz w:val="18"/>
                <w:szCs w:val="18"/>
                <w:lang w:val="en-US" w:eastAsia="zh-CN"/>
              </w:rPr>
            </w:pPr>
            <w:r>
              <w:rPr>
                <w:rFonts w:hint="eastAsia" w:eastAsia="Times New Roman"/>
                <w:sz w:val="18"/>
                <w:szCs w:val="18"/>
                <w:lang w:val="en-GB" w:eastAsia="en-GB"/>
              </w:rPr>
              <w:t>The results of the M</w:t>
            </w:r>
            <w:r>
              <w:rPr>
                <w:rFonts w:hint="eastAsia" w:eastAsia="宋体"/>
                <w:sz w:val="18"/>
                <w:szCs w:val="18"/>
                <w:lang w:val="en-US" w:eastAsia="zh-CN"/>
              </w:rPr>
              <w:t>R</w:t>
            </w:r>
            <w:r>
              <w:rPr>
                <w:rFonts w:hint="eastAsia" w:eastAsia="Times New Roman"/>
                <w:sz w:val="18"/>
                <w:szCs w:val="18"/>
                <w:lang w:val="en-GB" w:eastAsia="en-GB"/>
              </w:rPr>
              <w:t xml:space="preserve"> analysis obtained from the three analytical methodologies presented in the Supplementary Material include the weighted median method, M</w:t>
            </w:r>
            <w:r>
              <w:rPr>
                <w:rFonts w:hint="eastAsia" w:eastAsia="宋体"/>
                <w:sz w:val="18"/>
                <w:szCs w:val="18"/>
                <w:lang w:val="en-US" w:eastAsia="zh-CN"/>
              </w:rPr>
              <w:t>R Egger</w:t>
            </w:r>
            <w:r>
              <w:rPr>
                <w:rFonts w:hint="eastAsia" w:eastAsia="Times New Roman"/>
                <w:sz w:val="18"/>
                <w:szCs w:val="18"/>
                <w:lang w:val="en-GB" w:eastAsia="en-GB"/>
              </w:rPr>
              <w:t xml:space="preserve"> and M</w:t>
            </w:r>
            <w:r>
              <w:rPr>
                <w:rFonts w:hint="eastAsia" w:eastAsia="宋体"/>
                <w:sz w:val="18"/>
                <w:szCs w:val="18"/>
                <w:lang w:val="en-US" w:eastAsia="zh-CN"/>
              </w:rPr>
              <w:t>R PRESSO.</w:t>
            </w:r>
          </w:p>
        </w:tc>
      </w:tr>
      <w:tr w14:paraId="3696A9F1">
        <w:tblPrEx>
          <w:tblCellMar>
            <w:top w:w="0" w:type="dxa"/>
            <w:left w:w="108" w:type="dxa"/>
            <w:bottom w:w="0" w:type="dxa"/>
            <w:right w:w="108" w:type="dxa"/>
          </w:tblCellMar>
        </w:tblPrEx>
        <w:tc>
          <w:tcPr>
            <w:tcW w:w="587" w:type="dxa"/>
            <w:shd w:val="clear" w:color="auto" w:fill="auto"/>
          </w:tcPr>
          <w:p w14:paraId="0D2234E5">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7453E1FF">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auto"/>
          </w:tcPr>
          <w:p w14:paraId="5111E54D">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Report results from other sensitivity analyses or additional analyses</w:t>
            </w:r>
          </w:p>
        </w:tc>
        <w:tc>
          <w:tcPr>
            <w:tcW w:w="720" w:type="dxa"/>
          </w:tcPr>
          <w:p w14:paraId="447F5BF5">
            <w:pPr>
              <w:spacing w:before="96" w:beforeLines="40" w:after="96" w:afterLines="40" w:line="24" w:lineRule="atLeast"/>
              <w:rPr>
                <w:rFonts w:eastAsia="Times New Roman"/>
                <w:sz w:val="18"/>
                <w:szCs w:val="18"/>
                <w:lang w:val="en-GB" w:eastAsia="en-GB"/>
              </w:rPr>
            </w:pPr>
          </w:p>
        </w:tc>
        <w:tc>
          <w:tcPr>
            <w:tcW w:w="4320" w:type="dxa"/>
          </w:tcPr>
          <w:p w14:paraId="5BB83735">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The article reports on the results of other analyses, such as the leave-one-out method, in the supplementary material</w:t>
            </w:r>
            <w:r>
              <w:rPr>
                <w:rFonts w:hint="eastAsia" w:eastAsia="宋体"/>
                <w:sz w:val="18"/>
                <w:szCs w:val="18"/>
                <w:lang w:val="en-US" w:eastAsia="zh-CN"/>
              </w:rPr>
              <w:t>.</w:t>
            </w:r>
          </w:p>
        </w:tc>
      </w:tr>
      <w:tr w14:paraId="1650BAB8">
        <w:tblPrEx>
          <w:tblCellMar>
            <w:top w:w="0" w:type="dxa"/>
            <w:left w:w="108" w:type="dxa"/>
            <w:bottom w:w="0" w:type="dxa"/>
            <w:right w:w="108" w:type="dxa"/>
          </w:tblCellMar>
        </w:tblPrEx>
        <w:tc>
          <w:tcPr>
            <w:tcW w:w="587" w:type="dxa"/>
            <w:shd w:val="clear" w:color="auto" w:fill="EEEEEE"/>
          </w:tcPr>
          <w:p w14:paraId="4D025CC4">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EAD995A">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EEEEEE"/>
          </w:tcPr>
          <w:p w14:paraId="14E0FCD9">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Report any assessment of direction of causal relationship (e.g., bidirectional MR)</w:t>
            </w:r>
          </w:p>
        </w:tc>
        <w:tc>
          <w:tcPr>
            <w:tcW w:w="720" w:type="dxa"/>
            <w:shd w:val="clear" w:color="auto" w:fill="EEEEEE"/>
          </w:tcPr>
          <w:p w14:paraId="03D1A085">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7-9</w:t>
            </w:r>
          </w:p>
        </w:tc>
        <w:tc>
          <w:tcPr>
            <w:tcW w:w="4320" w:type="dxa"/>
            <w:shd w:val="clear" w:color="auto" w:fill="EEEEEE"/>
          </w:tcPr>
          <w:p w14:paraId="66751F07">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The article reports on the evaluation of bidirectional MR findings that revealed a correlation between chronic gastritis and SAS</w:t>
            </w:r>
            <w:r>
              <w:rPr>
                <w:rFonts w:hint="eastAsia" w:eastAsia="宋体"/>
                <w:sz w:val="18"/>
                <w:szCs w:val="18"/>
                <w:lang w:val="en-US" w:eastAsia="zh-CN"/>
              </w:rPr>
              <w:t>.</w:t>
            </w:r>
          </w:p>
        </w:tc>
      </w:tr>
      <w:tr w14:paraId="2034ACF7">
        <w:tblPrEx>
          <w:tblCellMar>
            <w:top w:w="0" w:type="dxa"/>
            <w:left w:w="108" w:type="dxa"/>
            <w:bottom w:w="0" w:type="dxa"/>
            <w:right w:w="108" w:type="dxa"/>
          </w:tblCellMar>
        </w:tblPrEx>
        <w:tc>
          <w:tcPr>
            <w:tcW w:w="587" w:type="dxa"/>
            <w:shd w:val="clear" w:color="auto" w:fill="auto"/>
          </w:tcPr>
          <w:p w14:paraId="3217ECED">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5AE90FE5">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d)</w:t>
            </w:r>
          </w:p>
        </w:tc>
        <w:tc>
          <w:tcPr>
            <w:tcW w:w="7041" w:type="dxa"/>
            <w:shd w:val="clear" w:color="auto" w:fill="auto"/>
          </w:tcPr>
          <w:p w14:paraId="3A13AF31">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When relevant, report and compare with estimates from non-MR analyses</w:t>
            </w:r>
          </w:p>
        </w:tc>
        <w:tc>
          <w:tcPr>
            <w:tcW w:w="720" w:type="dxa"/>
          </w:tcPr>
          <w:p w14:paraId="528F9F4C">
            <w:pPr>
              <w:spacing w:before="96" w:beforeLines="40" w:after="96" w:afterLines="40" w:line="24" w:lineRule="atLeast"/>
              <w:rPr>
                <w:rFonts w:eastAsia="Times New Roman"/>
                <w:sz w:val="18"/>
                <w:szCs w:val="18"/>
                <w:lang w:val="en-GB" w:eastAsia="en-GB"/>
              </w:rPr>
            </w:pPr>
          </w:p>
        </w:tc>
        <w:tc>
          <w:tcPr>
            <w:tcW w:w="4320" w:type="dxa"/>
          </w:tcPr>
          <w:p w14:paraId="7B882C5B">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article did not compare the results of non-MR analyses</w:t>
            </w:r>
          </w:p>
        </w:tc>
      </w:tr>
      <w:tr w14:paraId="3E7CFBFC">
        <w:tblPrEx>
          <w:tblCellMar>
            <w:top w:w="0" w:type="dxa"/>
            <w:left w:w="108" w:type="dxa"/>
            <w:bottom w:w="0" w:type="dxa"/>
            <w:right w:w="108" w:type="dxa"/>
          </w:tblCellMar>
        </w:tblPrEx>
        <w:tc>
          <w:tcPr>
            <w:tcW w:w="587" w:type="dxa"/>
            <w:tcBorders>
              <w:bottom w:val="single" w:color="7F7F7F" w:sz="6" w:space="0"/>
            </w:tcBorders>
            <w:shd w:val="clear" w:color="auto" w:fill="EEEEEE"/>
          </w:tcPr>
          <w:p w14:paraId="1FDC421F">
            <w:pPr>
              <w:spacing w:before="96" w:beforeLines="40" w:after="96" w:afterLines="40" w:line="24" w:lineRule="atLeast"/>
              <w:jc w:val="right"/>
              <w:rPr>
                <w:rFonts w:eastAsia="Cambria"/>
                <w:b/>
                <w:bCs/>
                <w:sz w:val="18"/>
                <w:szCs w:val="18"/>
                <w:lang w:val="en-GB" w:eastAsia="en-US"/>
              </w:rPr>
            </w:pPr>
          </w:p>
        </w:tc>
        <w:tc>
          <w:tcPr>
            <w:tcW w:w="1822" w:type="dxa"/>
            <w:tcBorders>
              <w:bottom w:val="single" w:color="7F7F7F" w:sz="6" w:space="0"/>
            </w:tcBorders>
            <w:shd w:val="clear" w:color="auto" w:fill="EEEEEE"/>
          </w:tcPr>
          <w:p w14:paraId="5FE15030">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e)</w:t>
            </w:r>
          </w:p>
        </w:tc>
        <w:tc>
          <w:tcPr>
            <w:tcW w:w="7041" w:type="dxa"/>
            <w:tcBorders>
              <w:bottom w:val="single" w:color="7F7F7F" w:sz="6" w:space="0"/>
            </w:tcBorders>
            <w:shd w:val="clear" w:color="auto" w:fill="EEEEEE"/>
          </w:tcPr>
          <w:p w14:paraId="61CE32BA">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Consider additional plots to visualize results (e.g., leave-one-out analyses)</w:t>
            </w:r>
          </w:p>
        </w:tc>
        <w:tc>
          <w:tcPr>
            <w:tcW w:w="720" w:type="dxa"/>
            <w:tcBorders>
              <w:bottom w:val="single" w:color="7F7F7F" w:sz="6" w:space="0"/>
            </w:tcBorders>
            <w:shd w:val="clear" w:color="auto" w:fill="EEEEEE"/>
          </w:tcPr>
          <w:p w14:paraId="33892A62">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7-8</w:t>
            </w:r>
          </w:p>
        </w:tc>
        <w:tc>
          <w:tcPr>
            <w:tcW w:w="4320" w:type="dxa"/>
            <w:tcBorders>
              <w:bottom w:val="single" w:color="7F7F7F" w:sz="6" w:space="0"/>
            </w:tcBorders>
            <w:shd w:val="clear" w:color="auto" w:fill="EEEEEE"/>
          </w:tcPr>
          <w:p w14:paraId="03A6AB93">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Supplementary Figure: Leave-one-out analysis.</w:t>
            </w:r>
          </w:p>
        </w:tc>
      </w:tr>
      <w:tr w14:paraId="5B7D2773">
        <w:tblPrEx>
          <w:tblCellMar>
            <w:top w:w="0" w:type="dxa"/>
            <w:left w:w="108" w:type="dxa"/>
            <w:bottom w:w="0" w:type="dxa"/>
            <w:right w:w="108" w:type="dxa"/>
          </w:tblCellMar>
        </w:tblPrEx>
        <w:tc>
          <w:tcPr>
            <w:tcW w:w="587" w:type="dxa"/>
            <w:tcBorders>
              <w:top w:val="single" w:color="7F7F7F" w:sz="6" w:space="0"/>
            </w:tcBorders>
            <w:shd w:val="clear" w:color="auto" w:fill="auto"/>
          </w:tcPr>
          <w:p w14:paraId="5BDBDA65">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shd w:val="clear" w:color="auto" w:fill="auto"/>
          </w:tcPr>
          <w:p w14:paraId="1C564B75">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DISCUSSION</w:t>
            </w:r>
          </w:p>
        </w:tc>
        <w:tc>
          <w:tcPr>
            <w:tcW w:w="7041" w:type="dxa"/>
            <w:tcBorders>
              <w:top w:val="single" w:color="7F7F7F" w:sz="6" w:space="0"/>
            </w:tcBorders>
            <w:shd w:val="clear" w:color="auto" w:fill="auto"/>
          </w:tcPr>
          <w:p w14:paraId="35997729">
            <w:pPr>
              <w:spacing w:before="96" w:beforeLines="40" w:after="96" w:afterLines="40" w:line="24" w:lineRule="atLeast"/>
              <w:rPr>
                <w:rFonts w:eastAsia="Cambria"/>
                <w:sz w:val="18"/>
                <w:szCs w:val="18"/>
                <w:lang w:val="en-GB" w:eastAsia="en-US"/>
              </w:rPr>
            </w:pPr>
          </w:p>
        </w:tc>
        <w:tc>
          <w:tcPr>
            <w:tcW w:w="720" w:type="dxa"/>
            <w:tcBorders>
              <w:top w:val="single" w:color="7F7F7F" w:sz="6" w:space="0"/>
            </w:tcBorders>
          </w:tcPr>
          <w:p w14:paraId="1AAD7FFB">
            <w:pPr>
              <w:spacing w:before="96" w:beforeLines="40" w:after="96" w:afterLines="40" w:line="24" w:lineRule="atLeast"/>
              <w:rPr>
                <w:rFonts w:eastAsia="Cambria"/>
                <w:sz w:val="18"/>
                <w:szCs w:val="18"/>
                <w:lang w:val="en-GB" w:eastAsia="en-US"/>
              </w:rPr>
            </w:pPr>
          </w:p>
        </w:tc>
        <w:tc>
          <w:tcPr>
            <w:tcW w:w="4320" w:type="dxa"/>
            <w:tcBorders>
              <w:top w:val="single" w:color="7F7F7F" w:sz="6" w:space="0"/>
            </w:tcBorders>
          </w:tcPr>
          <w:p w14:paraId="2AE3A897">
            <w:pPr>
              <w:spacing w:before="96" w:beforeLines="40" w:after="96" w:afterLines="40" w:line="24" w:lineRule="atLeast"/>
              <w:rPr>
                <w:rFonts w:eastAsia="Cambria"/>
                <w:sz w:val="18"/>
                <w:szCs w:val="18"/>
                <w:lang w:val="en-GB" w:eastAsia="en-US"/>
              </w:rPr>
            </w:pPr>
          </w:p>
        </w:tc>
      </w:tr>
      <w:tr w14:paraId="1800AF05">
        <w:tblPrEx>
          <w:tblCellMar>
            <w:top w:w="0" w:type="dxa"/>
            <w:left w:w="108" w:type="dxa"/>
            <w:bottom w:w="0" w:type="dxa"/>
            <w:right w:w="108" w:type="dxa"/>
          </w:tblCellMar>
        </w:tblPrEx>
        <w:tc>
          <w:tcPr>
            <w:tcW w:w="587" w:type="dxa"/>
            <w:shd w:val="clear" w:color="auto" w:fill="EEEEEE"/>
          </w:tcPr>
          <w:p w14:paraId="6B5F5286">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14</w:t>
            </w:r>
          </w:p>
        </w:tc>
        <w:tc>
          <w:tcPr>
            <w:tcW w:w="1822" w:type="dxa"/>
            <w:shd w:val="clear" w:color="auto" w:fill="EEEEEE"/>
          </w:tcPr>
          <w:p w14:paraId="42EDC029">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Key results </w:t>
            </w:r>
          </w:p>
        </w:tc>
        <w:tc>
          <w:tcPr>
            <w:tcW w:w="7041" w:type="dxa"/>
            <w:shd w:val="clear" w:color="auto" w:fill="EEEEEE"/>
          </w:tcPr>
          <w:p w14:paraId="35F1CADF">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Summarize key results with reference to study objectives</w:t>
            </w:r>
          </w:p>
        </w:tc>
        <w:tc>
          <w:tcPr>
            <w:tcW w:w="720" w:type="dxa"/>
            <w:shd w:val="clear" w:color="auto" w:fill="EEEEEE"/>
          </w:tcPr>
          <w:p w14:paraId="2C7117BF">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shd w:val="clear" w:color="auto" w:fill="EEEEEE"/>
          </w:tcPr>
          <w:p w14:paraId="70F1DDE7">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 xml:space="preserve">This study proved that there is a significant bidirectional causal relationship between SAS and chronic gastritis by two-sample MR. MR study for mediation analysis found that the level of PD-L1 expressed by CD14+CD16+ monocytes plays a key mediating role between chronic gastritis and SAS. </w:t>
            </w:r>
          </w:p>
        </w:tc>
      </w:tr>
      <w:tr w14:paraId="06BFAFA4">
        <w:tblPrEx>
          <w:tblCellMar>
            <w:top w:w="0" w:type="dxa"/>
            <w:left w:w="108" w:type="dxa"/>
            <w:bottom w:w="0" w:type="dxa"/>
            <w:right w:w="108" w:type="dxa"/>
          </w:tblCellMar>
        </w:tblPrEx>
        <w:tc>
          <w:tcPr>
            <w:tcW w:w="587" w:type="dxa"/>
            <w:shd w:val="clear" w:color="auto" w:fill="auto"/>
          </w:tcPr>
          <w:p w14:paraId="6D471CC5">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15</w:t>
            </w:r>
          </w:p>
        </w:tc>
        <w:tc>
          <w:tcPr>
            <w:tcW w:w="1822" w:type="dxa"/>
            <w:shd w:val="clear" w:color="auto" w:fill="auto"/>
          </w:tcPr>
          <w:p w14:paraId="5C27961E">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Limitations</w:t>
            </w:r>
          </w:p>
        </w:tc>
        <w:tc>
          <w:tcPr>
            <w:tcW w:w="7041" w:type="dxa"/>
            <w:shd w:val="clear" w:color="auto" w:fill="auto"/>
          </w:tcPr>
          <w:p w14:paraId="75B6F41B">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Discuss limitations of the study, taking into account the validity of the IV assumptions, other sources of potential bias, and imprecision. Discuss both direction and magnitude of any potential bias and any efforts to address them</w:t>
            </w:r>
            <w:r>
              <w:rPr>
                <w:rFonts w:eastAsia="Times New Roman"/>
                <w:sz w:val="18"/>
                <w:szCs w:val="18"/>
                <w:shd w:val="clear" w:color="auto" w:fill="FFFFFF"/>
                <w:lang w:val="en-GB" w:eastAsia="en-GB"/>
              </w:rPr>
              <w:t> </w:t>
            </w:r>
          </w:p>
        </w:tc>
        <w:tc>
          <w:tcPr>
            <w:tcW w:w="720" w:type="dxa"/>
          </w:tcPr>
          <w:p w14:paraId="201D4281">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tcPr>
          <w:p w14:paraId="7CB4BA33">
            <w:pPr>
              <w:spacing w:before="96" w:beforeLines="40" w:after="96" w:afterLines="40" w:line="24" w:lineRule="atLeast"/>
              <w:rPr>
                <w:rFonts w:eastAsia="Times New Roman"/>
                <w:sz w:val="18"/>
                <w:szCs w:val="18"/>
                <w:lang w:val="en-GB" w:eastAsia="en-GB"/>
              </w:rPr>
            </w:pPr>
            <w:r>
              <w:rPr>
                <w:rFonts w:hint="eastAsia" w:eastAsia="宋体"/>
                <w:sz w:val="18"/>
                <w:szCs w:val="18"/>
                <w:lang w:val="en-US" w:eastAsia="zh-CN"/>
              </w:rPr>
              <w:t>T</w:t>
            </w:r>
            <w:r>
              <w:rPr>
                <w:rFonts w:hint="eastAsia" w:eastAsia="Times New Roman"/>
                <w:sz w:val="18"/>
                <w:szCs w:val="18"/>
                <w:lang w:val="en-GB" w:eastAsia="en-GB"/>
              </w:rPr>
              <w:t xml:space="preserve">his study possesses certain limitations that warrant discussion.  Firstly, although our investigation did not identify any guided pleiotropy, the possibility of potential pleiotropy remains, which is a common challenge in MR research and can introduce bias. Secondly, the MR study was performed on individuals of European descent, while the cross-sectional study involved a multi-ethnic Chinese cohort. </w:t>
            </w:r>
          </w:p>
        </w:tc>
      </w:tr>
      <w:tr w14:paraId="71F8B8B5">
        <w:tblPrEx>
          <w:tblCellMar>
            <w:top w:w="0" w:type="dxa"/>
            <w:left w:w="108" w:type="dxa"/>
            <w:bottom w:w="0" w:type="dxa"/>
            <w:right w:w="108" w:type="dxa"/>
          </w:tblCellMar>
        </w:tblPrEx>
        <w:tc>
          <w:tcPr>
            <w:tcW w:w="587" w:type="dxa"/>
            <w:shd w:val="clear" w:color="auto" w:fill="EEEEEE"/>
          </w:tcPr>
          <w:p w14:paraId="02C1D590">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16</w:t>
            </w:r>
          </w:p>
        </w:tc>
        <w:tc>
          <w:tcPr>
            <w:tcW w:w="1822" w:type="dxa"/>
            <w:shd w:val="clear" w:color="auto" w:fill="EEEEEE"/>
          </w:tcPr>
          <w:p w14:paraId="612AA484">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Interpretation</w:t>
            </w:r>
          </w:p>
        </w:tc>
        <w:tc>
          <w:tcPr>
            <w:tcW w:w="7041" w:type="dxa"/>
            <w:shd w:val="clear" w:color="auto" w:fill="EEEEEE"/>
          </w:tcPr>
          <w:p w14:paraId="3BF6466E">
            <w:pPr>
              <w:spacing w:before="96" w:beforeLines="40" w:after="96" w:afterLines="40" w:line="24" w:lineRule="atLeast"/>
              <w:rPr>
                <w:rFonts w:eastAsia="Cambria"/>
                <w:sz w:val="18"/>
                <w:szCs w:val="18"/>
                <w:lang w:val="en-GB" w:eastAsia="en-US"/>
              </w:rPr>
            </w:pPr>
          </w:p>
        </w:tc>
        <w:tc>
          <w:tcPr>
            <w:tcW w:w="720" w:type="dxa"/>
            <w:shd w:val="clear" w:color="auto" w:fill="EEEEEE"/>
          </w:tcPr>
          <w:p w14:paraId="4B5179B2">
            <w:pPr>
              <w:spacing w:before="96" w:beforeLines="40" w:after="96" w:afterLines="40" w:line="24" w:lineRule="atLeast"/>
              <w:rPr>
                <w:rFonts w:eastAsia="Cambria"/>
                <w:sz w:val="18"/>
                <w:szCs w:val="18"/>
                <w:lang w:val="en-GB" w:eastAsia="en-US"/>
              </w:rPr>
            </w:pPr>
          </w:p>
        </w:tc>
        <w:tc>
          <w:tcPr>
            <w:tcW w:w="4320" w:type="dxa"/>
            <w:shd w:val="clear" w:color="auto" w:fill="EEEEEE"/>
          </w:tcPr>
          <w:p w14:paraId="1C445080">
            <w:pPr>
              <w:spacing w:before="96" w:beforeLines="40" w:after="96" w:afterLines="40" w:line="24" w:lineRule="atLeast"/>
              <w:rPr>
                <w:rFonts w:eastAsia="Cambria"/>
                <w:sz w:val="18"/>
                <w:szCs w:val="18"/>
                <w:lang w:val="en-GB" w:eastAsia="en-US"/>
              </w:rPr>
            </w:pPr>
          </w:p>
        </w:tc>
      </w:tr>
      <w:tr w14:paraId="62E6D51A">
        <w:tblPrEx>
          <w:tblCellMar>
            <w:top w:w="0" w:type="dxa"/>
            <w:left w:w="108" w:type="dxa"/>
            <w:bottom w:w="0" w:type="dxa"/>
            <w:right w:w="108" w:type="dxa"/>
          </w:tblCellMar>
        </w:tblPrEx>
        <w:tc>
          <w:tcPr>
            <w:tcW w:w="587" w:type="dxa"/>
            <w:shd w:val="clear" w:color="auto" w:fill="auto"/>
          </w:tcPr>
          <w:p w14:paraId="6DD2F448">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50F26A29">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a)</w:t>
            </w:r>
          </w:p>
        </w:tc>
        <w:tc>
          <w:tcPr>
            <w:tcW w:w="7041" w:type="dxa"/>
            <w:shd w:val="clear" w:color="auto" w:fill="auto"/>
          </w:tcPr>
          <w:p w14:paraId="7EDF9868">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Meaning: Give a cautious overall interpretation of results in the context of their limitations and in comparison with other studies</w:t>
            </w:r>
          </w:p>
        </w:tc>
        <w:tc>
          <w:tcPr>
            <w:tcW w:w="720" w:type="dxa"/>
          </w:tcPr>
          <w:p w14:paraId="565CC165">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11-12</w:t>
            </w:r>
          </w:p>
        </w:tc>
        <w:tc>
          <w:tcPr>
            <w:tcW w:w="4320" w:type="dxa"/>
          </w:tcPr>
          <w:p w14:paraId="5251245C">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implications are discussed at great length in the article, and the results are rationalized by comparing them to multiple move-published studies</w:t>
            </w:r>
          </w:p>
        </w:tc>
      </w:tr>
      <w:tr w14:paraId="156B69E5">
        <w:tblPrEx>
          <w:tblCellMar>
            <w:top w:w="0" w:type="dxa"/>
            <w:left w:w="108" w:type="dxa"/>
            <w:bottom w:w="0" w:type="dxa"/>
            <w:right w:w="108" w:type="dxa"/>
          </w:tblCellMar>
        </w:tblPrEx>
        <w:tc>
          <w:tcPr>
            <w:tcW w:w="587" w:type="dxa"/>
            <w:shd w:val="clear" w:color="auto" w:fill="EEEEEE"/>
          </w:tcPr>
          <w:p w14:paraId="4C8A2215">
            <w:pPr>
              <w:spacing w:before="96" w:beforeLines="40" w:after="96" w:afterLines="40" w:line="24" w:lineRule="atLeast"/>
              <w:jc w:val="right"/>
              <w:rPr>
                <w:rFonts w:eastAsia="Cambria"/>
                <w:b/>
                <w:bCs/>
                <w:sz w:val="18"/>
                <w:szCs w:val="18"/>
                <w:lang w:val="en-GB" w:eastAsia="en-US"/>
              </w:rPr>
            </w:pPr>
          </w:p>
        </w:tc>
        <w:tc>
          <w:tcPr>
            <w:tcW w:w="1822" w:type="dxa"/>
            <w:shd w:val="clear" w:color="auto" w:fill="EEEEEE"/>
          </w:tcPr>
          <w:p w14:paraId="6A4A5F16">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b)</w:t>
            </w:r>
          </w:p>
        </w:tc>
        <w:tc>
          <w:tcPr>
            <w:tcW w:w="7041" w:type="dxa"/>
            <w:shd w:val="clear" w:color="auto" w:fill="EEEEEE"/>
          </w:tcPr>
          <w:p w14:paraId="422EB891">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 xml:space="preserve">Mechanism: Discuss underlying biological mechanisms that could drive a potential causal relationship between the investigated exposure and the outcome, and whether the gene-environment equivalence assumption is reasonable. Use causal language carefully, clarifying that IV estimates may provide causal effects only under certain assumptions </w:t>
            </w:r>
          </w:p>
        </w:tc>
        <w:tc>
          <w:tcPr>
            <w:tcW w:w="720" w:type="dxa"/>
            <w:shd w:val="clear" w:color="auto" w:fill="EEEEEE"/>
          </w:tcPr>
          <w:p w14:paraId="2FA4AA4D">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12</w:t>
            </w:r>
          </w:p>
        </w:tc>
        <w:tc>
          <w:tcPr>
            <w:tcW w:w="4320" w:type="dxa"/>
            <w:shd w:val="clear" w:color="auto" w:fill="EEEEEE"/>
          </w:tcPr>
          <w:p w14:paraId="3A91F000">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The article describes the biological mechanisms in detail in the Discussion section</w:t>
            </w:r>
            <w:r>
              <w:rPr>
                <w:rFonts w:hint="eastAsia" w:eastAsia="宋体"/>
                <w:sz w:val="18"/>
                <w:szCs w:val="18"/>
                <w:lang w:val="en-US" w:eastAsia="zh-CN"/>
              </w:rPr>
              <w:t>, such as</w:t>
            </w:r>
            <w:r>
              <w:rPr>
                <w:rFonts w:hint="eastAsia" w:eastAsia="Times New Roman"/>
                <w:sz w:val="18"/>
                <w:szCs w:val="18"/>
                <w:lang w:val="en-GB" w:eastAsia="en-GB"/>
              </w:rPr>
              <w:t xml:space="preserve"> PD-L1/CD14+CD16+ monocyte pathway proposed</w:t>
            </w:r>
            <w:r>
              <w:rPr>
                <w:rFonts w:hint="eastAsia" w:eastAsia="宋体"/>
                <w:sz w:val="18"/>
                <w:szCs w:val="18"/>
                <w:lang w:val="en-US" w:eastAsia="zh-CN"/>
              </w:rPr>
              <w:t>.</w:t>
            </w:r>
          </w:p>
        </w:tc>
      </w:tr>
      <w:tr w14:paraId="203390A0">
        <w:tblPrEx>
          <w:tblCellMar>
            <w:top w:w="0" w:type="dxa"/>
            <w:left w:w="108" w:type="dxa"/>
            <w:bottom w:w="0" w:type="dxa"/>
            <w:right w:w="108" w:type="dxa"/>
          </w:tblCellMar>
        </w:tblPrEx>
        <w:tc>
          <w:tcPr>
            <w:tcW w:w="587" w:type="dxa"/>
            <w:shd w:val="clear" w:color="auto" w:fill="auto"/>
          </w:tcPr>
          <w:p w14:paraId="54CA3A27">
            <w:pPr>
              <w:spacing w:before="96" w:beforeLines="40" w:after="96" w:afterLines="40" w:line="24" w:lineRule="atLeast"/>
              <w:jc w:val="right"/>
              <w:rPr>
                <w:rFonts w:eastAsia="Cambria"/>
                <w:b/>
                <w:bCs/>
                <w:sz w:val="18"/>
                <w:szCs w:val="18"/>
                <w:lang w:val="en-GB" w:eastAsia="en-US"/>
              </w:rPr>
            </w:pPr>
          </w:p>
        </w:tc>
        <w:tc>
          <w:tcPr>
            <w:tcW w:w="1822" w:type="dxa"/>
            <w:shd w:val="clear" w:color="auto" w:fill="auto"/>
          </w:tcPr>
          <w:p w14:paraId="6D25BA57">
            <w:pPr>
              <w:spacing w:before="96" w:beforeLines="40" w:after="96" w:afterLines="40" w:line="24" w:lineRule="atLeast"/>
              <w:jc w:val="right"/>
              <w:rPr>
                <w:rFonts w:eastAsia="Cambria"/>
                <w:sz w:val="18"/>
                <w:szCs w:val="18"/>
                <w:lang w:val="en-GB" w:eastAsia="en-US"/>
              </w:rPr>
            </w:pPr>
            <w:r>
              <w:rPr>
                <w:rFonts w:eastAsia="Cambria"/>
                <w:sz w:val="18"/>
                <w:szCs w:val="18"/>
                <w:lang w:val="en-GB" w:eastAsia="en-US"/>
              </w:rPr>
              <w:t>c)</w:t>
            </w:r>
          </w:p>
        </w:tc>
        <w:tc>
          <w:tcPr>
            <w:tcW w:w="7041" w:type="dxa"/>
            <w:shd w:val="clear" w:color="auto" w:fill="auto"/>
          </w:tcPr>
          <w:p w14:paraId="5B6A8315">
            <w:pPr>
              <w:tabs>
                <w:tab w:val="left" w:pos="1350"/>
              </w:tabs>
              <w:spacing w:before="96" w:beforeLines="40" w:after="96" w:afterLines="40" w:line="24" w:lineRule="atLeast"/>
              <w:rPr>
                <w:rFonts w:eastAsia="Cambria"/>
                <w:sz w:val="18"/>
                <w:szCs w:val="18"/>
                <w:lang w:val="en-GB" w:eastAsia="en-US"/>
              </w:rPr>
            </w:pPr>
            <w:r>
              <w:rPr>
                <w:rFonts w:eastAsia="Times New Roman"/>
                <w:sz w:val="18"/>
                <w:szCs w:val="18"/>
                <w:lang w:val="en-GB" w:eastAsia="en-GB"/>
              </w:rPr>
              <w:t xml:space="preserve">Clinical relevance: Discuss whether the results have clinical or public policy relevance, and </w:t>
            </w:r>
            <w:r>
              <w:rPr>
                <w:rFonts w:eastAsia="Times New Roman"/>
                <w:color w:val="000000"/>
                <w:sz w:val="18"/>
                <w:szCs w:val="18"/>
                <w:lang w:eastAsia="en-GB"/>
              </w:rPr>
              <w:t>to what extent they inform effect sizes of possible interventions</w:t>
            </w:r>
          </w:p>
        </w:tc>
        <w:tc>
          <w:tcPr>
            <w:tcW w:w="720" w:type="dxa"/>
          </w:tcPr>
          <w:p w14:paraId="32FCF028">
            <w:pPr>
              <w:tabs>
                <w:tab w:val="left" w:pos="1350"/>
              </w:tabs>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tcPr>
          <w:p w14:paraId="78058AE6">
            <w:pPr>
              <w:tabs>
                <w:tab w:val="left" w:pos="1350"/>
              </w:tabs>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By elucidating the mechanisms connecting SAS and chronic gastritis, it may contribute to understanding the pathogenesis and progression of the disease, as well as identifying potential biomarkers and treatment strategies</w:t>
            </w:r>
            <w:r>
              <w:rPr>
                <w:rFonts w:hint="eastAsia" w:eastAsia="宋体"/>
                <w:sz w:val="18"/>
                <w:szCs w:val="18"/>
                <w:lang w:val="en-US" w:eastAsia="zh-CN"/>
              </w:rPr>
              <w:t>.</w:t>
            </w:r>
          </w:p>
        </w:tc>
      </w:tr>
      <w:tr w14:paraId="71FDAFC1">
        <w:tblPrEx>
          <w:tblCellMar>
            <w:top w:w="0" w:type="dxa"/>
            <w:left w:w="108" w:type="dxa"/>
            <w:bottom w:w="0" w:type="dxa"/>
            <w:right w:w="108" w:type="dxa"/>
          </w:tblCellMar>
        </w:tblPrEx>
        <w:tc>
          <w:tcPr>
            <w:tcW w:w="587" w:type="dxa"/>
            <w:tcBorders>
              <w:bottom w:val="single" w:color="7F7F7F" w:sz="6" w:space="0"/>
            </w:tcBorders>
            <w:shd w:val="clear" w:color="auto" w:fill="EEEEEE"/>
          </w:tcPr>
          <w:p w14:paraId="7540155A">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17</w:t>
            </w:r>
          </w:p>
        </w:tc>
        <w:tc>
          <w:tcPr>
            <w:tcW w:w="1822" w:type="dxa"/>
            <w:tcBorders>
              <w:bottom w:val="single" w:color="7F7F7F" w:sz="6" w:space="0"/>
            </w:tcBorders>
            <w:shd w:val="clear" w:color="auto" w:fill="EEEEEE"/>
          </w:tcPr>
          <w:p w14:paraId="3680059F">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 xml:space="preserve">Generalizability  </w:t>
            </w:r>
            <w:r>
              <w:rPr>
                <w:rFonts w:eastAsia="Times New Roman"/>
                <w:sz w:val="18"/>
                <w:szCs w:val="18"/>
                <w:lang w:val="en-GB" w:eastAsia="en-GB"/>
              </w:rPr>
              <w:t> </w:t>
            </w:r>
          </w:p>
        </w:tc>
        <w:tc>
          <w:tcPr>
            <w:tcW w:w="7041" w:type="dxa"/>
            <w:tcBorders>
              <w:bottom w:val="single" w:color="7F7F7F" w:sz="6" w:space="0"/>
            </w:tcBorders>
            <w:shd w:val="clear" w:color="auto" w:fill="EEEEEE"/>
          </w:tcPr>
          <w:p w14:paraId="68647C33">
            <w:pPr>
              <w:spacing w:before="96" w:beforeLines="40" w:after="96" w:afterLines="40" w:line="24" w:lineRule="atLeast"/>
              <w:rPr>
                <w:rFonts w:eastAsia="Cambria"/>
                <w:sz w:val="18"/>
                <w:szCs w:val="18"/>
                <w:lang w:val="en-GB" w:eastAsia="en-US"/>
              </w:rPr>
            </w:pPr>
            <w:r>
              <w:rPr>
                <w:rFonts w:eastAsia="Times New Roman"/>
                <w:sz w:val="18"/>
                <w:szCs w:val="18"/>
                <w:lang w:val="en-GB" w:eastAsia="en-GB"/>
              </w:rPr>
              <w:t>Discuss the generalizability of the study results (a) to other populations, (b) across other exposure periods/timings, and (c) across other levels of exposure</w:t>
            </w:r>
          </w:p>
        </w:tc>
        <w:tc>
          <w:tcPr>
            <w:tcW w:w="720" w:type="dxa"/>
            <w:tcBorders>
              <w:bottom w:val="single" w:color="7F7F7F" w:sz="6" w:space="0"/>
            </w:tcBorders>
            <w:shd w:val="clear" w:color="auto" w:fill="EEEEEE"/>
          </w:tcPr>
          <w:p w14:paraId="3ACD3D08">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tcBorders>
              <w:bottom w:val="single" w:color="7F7F7F" w:sz="6" w:space="0"/>
            </w:tcBorders>
            <w:shd w:val="clear" w:color="auto" w:fill="EEEEEE"/>
          </w:tcPr>
          <w:p w14:paraId="41ABF5A9">
            <w:pPr>
              <w:spacing w:before="96" w:beforeLines="40" w:after="96" w:afterLines="40" w:line="24" w:lineRule="atLeast"/>
              <w:rPr>
                <w:rFonts w:hint="eastAsia" w:eastAsia="宋体"/>
                <w:sz w:val="18"/>
                <w:szCs w:val="18"/>
                <w:lang w:val="en-US" w:eastAsia="zh-CN"/>
              </w:rPr>
            </w:pPr>
            <w:r>
              <w:rPr>
                <w:rFonts w:hint="eastAsia" w:eastAsia="Times New Roman"/>
                <w:sz w:val="18"/>
                <w:szCs w:val="18"/>
                <w:lang w:val="en-GB" w:eastAsia="en-GB"/>
              </w:rPr>
              <w:t xml:space="preserve">The article </w:t>
            </w:r>
            <w:r>
              <w:rPr>
                <w:rFonts w:hint="eastAsia" w:eastAsia="宋体"/>
                <w:sz w:val="18"/>
                <w:szCs w:val="18"/>
                <w:lang w:val="en-US" w:eastAsia="zh-CN"/>
              </w:rPr>
              <w:t xml:space="preserve">reported: </w:t>
            </w:r>
            <w:r>
              <w:rPr>
                <w:rFonts w:hint="default" w:eastAsia="宋体"/>
                <w:sz w:val="18"/>
                <w:szCs w:val="18"/>
                <w:lang w:val="en-US" w:eastAsia="zh-CN"/>
              </w:rPr>
              <w:t>“</w:t>
            </w:r>
            <w:r>
              <w:rPr>
                <w:rFonts w:hint="eastAsia" w:eastAsia="Times New Roman"/>
                <w:sz w:val="18"/>
                <w:szCs w:val="18"/>
                <w:lang w:val="en-GB" w:eastAsia="en-GB"/>
              </w:rPr>
              <w:t>Future research focusing on a homogeneous ethnic group is necessary to mitigate potential confounding effects arising from population heterogeneity.</w:t>
            </w:r>
            <w:r>
              <w:rPr>
                <w:rFonts w:hint="default" w:eastAsia="宋体"/>
                <w:sz w:val="18"/>
                <w:szCs w:val="18"/>
                <w:lang w:val="en-US" w:eastAsia="zh-CN"/>
              </w:rPr>
              <w:t>”</w:t>
            </w:r>
          </w:p>
        </w:tc>
      </w:tr>
      <w:tr w14:paraId="57884E75">
        <w:tblPrEx>
          <w:tblCellMar>
            <w:top w:w="0" w:type="dxa"/>
            <w:left w:w="108" w:type="dxa"/>
            <w:bottom w:w="0" w:type="dxa"/>
            <w:right w:w="108" w:type="dxa"/>
          </w:tblCellMar>
        </w:tblPrEx>
        <w:tc>
          <w:tcPr>
            <w:tcW w:w="587" w:type="dxa"/>
            <w:tcBorders>
              <w:top w:val="single" w:color="7F7F7F" w:sz="6" w:space="0"/>
            </w:tcBorders>
            <w:shd w:val="clear" w:color="auto" w:fill="auto"/>
          </w:tcPr>
          <w:p w14:paraId="2C4C694A">
            <w:pPr>
              <w:spacing w:before="96" w:beforeLines="40" w:after="96" w:afterLines="40" w:line="24" w:lineRule="atLeast"/>
              <w:rPr>
                <w:rFonts w:eastAsia="Times New Roman"/>
                <w:b/>
                <w:bCs/>
                <w:sz w:val="18"/>
                <w:szCs w:val="18"/>
                <w:lang w:val="en-GB" w:eastAsia="en-GB"/>
              </w:rPr>
            </w:pPr>
          </w:p>
        </w:tc>
        <w:tc>
          <w:tcPr>
            <w:tcW w:w="1822" w:type="dxa"/>
            <w:tcBorders>
              <w:top w:val="single" w:color="7F7F7F" w:sz="6" w:space="0"/>
            </w:tcBorders>
            <w:shd w:val="clear" w:color="auto" w:fill="auto"/>
          </w:tcPr>
          <w:p w14:paraId="0A6FFE33">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OTHER INFORMATION</w:t>
            </w:r>
          </w:p>
        </w:tc>
        <w:tc>
          <w:tcPr>
            <w:tcW w:w="7041" w:type="dxa"/>
            <w:tcBorders>
              <w:top w:val="single" w:color="7F7F7F" w:sz="6" w:space="0"/>
            </w:tcBorders>
            <w:shd w:val="clear" w:color="auto" w:fill="auto"/>
          </w:tcPr>
          <w:p w14:paraId="0577947E">
            <w:pPr>
              <w:spacing w:before="96" w:beforeLines="40" w:after="96" w:afterLines="40" w:line="24" w:lineRule="atLeast"/>
              <w:rPr>
                <w:rFonts w:eastAsia="Cambria"/>
                <w:sz w:val="18"/>
                <w:szCs w:val="18"/>
                <w:lang w:val="en-GB" w:eastAsia="en-US"/>
              </w:rPr>
            </w:pPr>
          </w:p>
        </w:tc>
        <w:tc>
          <w:tcPr>
            <w:tcW w:w="720" w:type="dxa"/>
            <w:tcBorders>
              <w:top w:val="single" w:color="7F7F7F" w:sz="6" w:space="0"/>
            </w:tcBorders>
          </w:tcPr>
          <w:p w14:paraId="7561574C">
            <w:pPr>
              <w:spacing w:before="96" w:beforeLines="40" w:after="96" w:afterLines="40" w:line="24" w:lineRule="atLeast"/>
              <w:rPr>
                <w:rFonts w:eastAsia="Cambria"/>
                <w:sz w:val="18"/>
                <w:szCs w:val="18"/>
                <w:lang w:val="en-GB" w:eastAsia="en-US"/>
              </w:rPr>
            </w:pPr>
          </w:p>
        </w:tc>
        <w:tc>
          <w:tcPr>
            <w:tcW w:w="4320" w:type="dxa"/>
            <w:tcBorders>
              <w:top w:val="single" w:color="7F7F7F" w:sz="6" w:space="0"/>
            </w:tcBorders>
          </w:tcPr>
          <w:p w14:paraId="3718ED5B">
            <w:pPr>
              <w:spacing w:before="96" w:beforeLines="40" w:after="96" w:afterLines="40" w:line="24" w:lineRule="atLeast"/>
              <w:rPr>
                <w:rFonts w:eastAsia="Cambria"/>
                <w:sz w:val="18"/>
                <w:szCs w:val="18"/>
                <w:lang w:val="en-GB" w:eastAsia="en-US"/>
              </w:rPr>
            </w:pPr>
          </w:p>
        </w:tc>
      </w:tr>
      <w:tr w14:paraId="0014C6D1">
        <w:tblPrEx>
          <w:tblCellMar>
            <w:top w:w="0" w:type="dxa"/>
            <w:left w:w="108" w:type="dxa"/>
            <w:bottom w:w="0" w:type="dxa"/>
            <w:right w:w="108" w:type="dxa"/>
          </w:tblCellMar>
        </w:tblPrEx>
        <w:tc>
          <w:tcPr>
            <w:tcW w:w="587" w:type="dxa"/>
            <w:shd w:val="clear" w:color="auto" w:fill="EEEEEE"/>
          </w:tcPr>
          <w:p w14:paraId="2336D08C">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18</w:t>
            </w:r>
          </w:p>
        </w:tc>
        <w:tc>
          <w:tcPr>
            <w:tcW w:w="1822" w:type="dxa"/>
            <w:shd w:val="clear" w:color="auto" w:fill="EEEEEE"/>
          </w:tcPr>
          <w:p w14:paraId="08EB4FDF">
            <w:pPr>
              <w:spacing w:before="96" w:beforeLines="40" w:after="96" w:afterLines="40" w:line="24" w:lineRule="atLeast"/>
              <w:rPr>
                <w:rFonts w:eastAsia="Cambria"/>
                <w:sz w:val="18"/>
                <w:szCs w:val="18"/>
                <w:lang w:val="en-GB" w:eastAsia="en-US"/>
              </w:rPr>
            </w:pPr>
            <w:r>
              <w:rPr>
                <w:rFonts w:eastAsia="Times New Roman"/>
                <w:b/>
                <w:bCs/>
                <w:sz w:val="18"/>
                <w:szCs w:val="18"/>
                <w:lang w:val="en-GB" w:eastAsia="en-GB"/>
              </w:rPr>
              <w:t>Funding</w:t>
            </w:r>
          </w:p>
        </w:tc>
        <w:tc>
          <w:tcPr>
            <w:tcW w:w="7041" w:type="dxa"/>
            <w:shd w:val="clear" w:color="auto" w:fill="EEEEEE"/>
          </w:tcPr>
          <w:p w14:paraId="4663DCA7">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Describe sources of funding and the role of funders in the present study and, if applicable, sources of funding for the databases and original study or studies on which the present study is based</w:t>
            </w:r>
          </w:p>
        </w:tc>
        <w:tc>
          <w:tcPr>
            <w:tcW w:w="720" w:type="dxa"/>
            <w:shd w:val="clear" w:color="auto" w:fill="EEEEEE"/>
          </w:tcPr>
          <w:p w14:paraId="33E2D855">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shd w:val="clear" w:color="auto" w:fill="EEEEEE"/>
          </w:tcPr>
          <w:p w14:paraId="2C6CE5FF">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No funders.</w:t>
            </w:r>
          </w:p>
        </w:tc>
      </w:tr>
      <w:tr w14:paraId="1B22CB41">
        <w:tblPrEx>
          <w:tblCellMar>
            <w:top w:w="0" w:type="dxa"/>
            <w:left w:w="108" w:type="dxa"/>
            <w:bottom w:w="0" w:type="dxa"/>
            <w:right w:w="108" w:type="dxa"/>
          </w:tblCellMar>
        </w:tblPrEx>
        <w:tc>
          <w:tcPr>
            <w:tcW w:w="587" w:type="dxa"/>
            <w:shd w:val="clear" w:color="auto" w:fill="auto"/>
          </w:tcPr>
          <w:p w14:paraId="381BF2BA">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19</w:t>
            </w:r>
          </w:p>
        </w:tc>
        <w:tc>
          <w:tcPr>
            <w:tcW w:w="1822" w:type="dxa"/>
            <w:shd w:val="clear" w:color="auto" w:fill="auto"/>
          </w:tcPr>
          <w:p w14:paraId="233BA942">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Data and data sharing </w:t>
            </w:r>
          </w:p>
        </w:tc>
        <w:tc>
          <w:tcPr>
            <w:tcW w:w="7041" w:type="dxa"/>
            <w:shd w:val="clear" w:color="auto" w:fill="auto"/>
          </w:tcPr>
          <w:p w14:paraId="42D9085E">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Provide the data used to perform all analyses or report where and how the data can be accessed, and reference these sources in the article. Provide the statistical code needed to reproduce the results in the article, or report whether the code is publicly accessible and if so, where</w:t>
            </w:r>
          </w:p>
        </w:tc>
        <w:tc>
          <w:tcPr>
            <w:tcW w:w="720" w:type="dxa"/>
          </w:tcPr>
          <w:p w14:paraId="5725EE6D">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tcPr>
          <w:p w14:paraId="38DE3AA7">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This study analyzed datasets that are publicly accessible. These datasets can be found at the following URLs: FinnGen (https://storage.googleapis.com/finngen-public-data-r9/summary_stats/finngen_R9_M13_OSTEONECROSIS.gz) and GWAS Catalog (https://www.ebi.ac.uk/gwas/downloads/summary-statistics).</w:t>
            </w:r>
          </w:p>
        </w:tc>
      </w:tr>
      <w:tr w14:paraId="1BFE6A86">
        <w:tblPrEx>
          <w:tblCellMar>
            <w:top w:w="0" w:type="dxa"/>
            <w:left w:w="108" w:type="dxa"/>
            <w:bottom w:w="0" w:type="dxa"/>
            <w:right w:w="108" w:type="dxa"/>
          </w:tblCellMar>
        </w:tblPrEx>
        <w:tc>
          <w:tcPr>
            <w:tcW w:w="587" w:type="dxa"/>
            <w:tcBorders>
              <w:bottom w:val="single" w:color="7F7F7F" w:sz="6" w:space="0"/>
            </w:tcBorders>
            <w:shd w:val="clear" w:color="auto" w:fill="EEEEEE"/>
          </w:tcPr>
          <w:p w14:paraId="20DC2C92">
            <w:pPr>
              <w:spacing w:before="96" w:beforeLines="40" w:after="96" w:afterLines="40" w:line="24" w:lineRule="atLeast"/>
              <w:rPr>
                <w:rFonts w:eastAsia="Times New Roman"/>
                <w:b/>
                <w:bCs/>
                <w:sz w:val="18"/>
                <w:szCs w:val="18"/>
                <w:lang w:val="en-GB" w:eastAsia="en-GB"/>
              </w:rPr>
            </w:pPr>
            <w:r>
              <w:rPr>
                <w:rFonts w:eastAsia="Times New Roman"/>
                <w:sz w:val="18"/>
                <w:szCs w:val="18"/>
                <w:lang w:val="en-GB" w:eastAsia="en-GB"/>
              </w:rPr>
              <w:t>20</w:t>
            </w:r>
          </w:p>
        </w:tc>
        <w:tc>
          <w:tcPr>
            <w:tcW w:w="1822" w:type="dxa"/>
            <w:tcBorders>
              <w:bottom w:val="single" w:color="7F7F7F" w:sz="6" w:space="0"/>
            </w:tcBorders>
            <w:shd w:val="clear" w:color="auto" w:fill="EEEEEE"/>
          </w:tcPr>
          <w:p w14:paraId="39A69A1B">
            <w:pPr>
              <w:spacing w:before="96" w:beforeLines="40" w:after="96" w:afterLines="40" w:line="24" w:lineRule="atLeast"/>
              <w:rPr>
                <w:rFonts w:eastAsia="Times New Roman"/>
                <w:sz w:val="18"/>
                <w:szCs w:val="18"/>
                <w:lang w:val="en-GB" w:eastAsia="en-GB"/>
              </w:rPr>
            </w:pPr>
            <w:r>
              <w:rPr>
                <w:rFonts w:eastAsia="Times New Roman"/>
                <w:b/>
                <w:bCs/>
                <w:sz w:val="18"/>
                <w:szCs w:val="18"/>
                <w:lang w:val="en-GB" w:eastAsia="en-GB"/>
              </w:rPr>
              <w:t>Conflicts of Interest  </w:t>
            </w:r>
          </w:p>
        </w:tc>
        <w:tc>
          <w:tcPr>
            <w:tcW w:w="7041" w:type="dxa"/>
            <w:tcBorders>
              <w:bottom w:val="single" w:color="7F7F7F" w:sz="6" w:space="0"/>
            </w:tcBorders>
            <w:shd w:val="clear" w:color="auto" w:fill="EEEEEE"/>
          </w:tcPr>
          <w:p w14:paraId="4772D912">
            <w:pPr>
              <w:spacing w:before="96" w:beforeLines="40" w:after="96" w:afterLines="40" w:line="24" w:lineRule="atLeast"/>
              <w:rPr>
                <w:rFonts w:eastAsia="Times New Roman"/>
                <w:sz w:val="18"/>
                <w:szCs w:val="18"/>
                <w:lang w:val="en-GB" w:eastAsia="en-GB"/>
              </w:rPr>
            </w:pPr>
            <w:r>
              <w:rPr>
                <w:rFonts w:eastAsia="Times New Roman"/>
                <w:sz w:val="18"/>
                <w:szCs w:val="18"/>
                <w:lang w:val="en-GB" w:eastAsia="en-GB"/>
              </w:rPr>
              <w:t>All authors should declare all potential conflicts of interest</w:t>
            </w:r>
          </w:p>
        </w:tc>
        <w:tc>
          <w:tcPr>
            <w:tcW w:w="720" w:type="dxa"/>
            <w:tcBorders>
              <w:bottom w:val="single" w:color="7F7F7F" w:sz="6" w:space="0"/>
            </w:tcBorders>
            <w:shd w:val="clear" w:color="auto" w:fill="EEEEEE"/>
          </w:tcPr>
          <w:p w14:paraId="1B63BC8B">
            <w:pPr>
              <w:spacing w:before="96" w:beforeLines="40" w:after="96" w:afterLines="40" w:line="24" w:lineRule="atLeast"/>
              <w:rPr>
                <w:rFonts w:hint="default" w:eastAsia="宋体"/>
                <w:sz w:val="18"/>
                <w:szCs w:val="18"/>
                <w:lang w:val="en-US" w:eastAsia="zh-CN"/>
              </w:rPr>
            </w:pPr>
            <w:r>
              <w:rPr>
                <w:rFonts w:hint="eastAsia" w:eastAsia="宋体"/>
                <w:sz w:val="18"/>
                <w:szCs w:val="18"/>
                <w:lang w:val="en-US" w:eastAsia="zh-CN"/>
              </w:rPr>
              <w:t>13</w:t>
            </w:r>
          </w:p>
        </w:tc>
        <w:tc>
          <w:tcPr>
            <w:tcW w:w="4320" w:type="dxa"/>
            <w:tcBorders>
              <w:bottom w:val="single" w:color="7F7F7F" w:sz="6" w:space="0"/>
            </w:tcBorders>
            <w:shd w:val="clear" w:color="auto" w:fill="EEEEEE"/>
          </w:tcPr>
          <w:p w14:paraId="5D9123A4">
            <w:pPr>
              <w:spacing w:before="96" w:beforeLines="40" w:after="96" w:afterLines="40" w:line="24" w:lineRule="atLeast"/>
              <w:rPr>
                <w:rFonts w:eastAsia="Times New Roman"/>
                <w:sz w:val="18"/>
                <w:szCs w:val="18"/>
                <w:lang w:val="en-GB" w:eastAsia="en-GB"/>
              </w:rPr>
            </w:pPr>
            <w:r>
              <w:rPr>
                <w:rFonts w:hint="eastAsia" w:eastAsia="Times New Roman"/>
                <w:sz w:val="18"/>
                <w:szCs w:val="18"/>
                <w:lang w:val="en-GB" w:eastAsia="en-GB"/>
              </w:rPr>
              <w:t>The authors declare that they have no competing interests.</w:t>
            </w:r>
          </w:p>
        </w:tc>
      </w:tr>
    </w:tbl>
    <w:p w14:paraId="386115B2">
      <w:pPr>
        <w:spacing w:before="240" w:after="240"/>
        <w:rPr>
          <w:sz w:val="19"/>
          <w:szCs w:val="19"/>
        </w:rPr>
      </w:pPr>
      <w:r>
        <w:rPr>
          <w:sz w:val="19"/>
          <w:szCs w:val="19"/>
        </w:rPr>
        <w:t>This checklist is copyrighted by the Equator Network under the Creative Commons Attribution 3.0 Unported (CC BY 3.0) license.</w:t>
      </w:r>
    </w:p>
    <w:p w14:paraId="5DDF8A06">
      <w:pPr>
        <w:widowControl w:val="0"/>
        <w:autoSpaceDE w:val="0"/>
        <w:autoSpaceDN w:val="0"/>
        <w:adjustRightInd w:val="0"/>
        <w:spacing w:before="240" w:after="240" w:line="240" w:lineRule="auto"/>
        <w:ind w:left="640" w:hanging="640"/>
        <w:rPr>
          <w:sz w:val="19"/>
          <w:szCs w:val="19"/>
        </w:rPr>
      </w:pPr>
      <w:r>
        <w:rPr>
          <w:sz w:val="19"/>
          <w:szCs w:val="19"/>
        </w:rPr>
        <w:fldChar w:fldCharType="begin" w:fldLock="1"/>
      </w:r>
      <w:r>
        <w:rPr>
          <w:sz w:val="19"/>
          <w:szCs w:val="19"/>
        </w:rPr>
        <w:instrText xml:space="preserve">ADDIN Mendeley Bibliography CSL_BIBLIOGRAPHY </w:instrText>
      </w:r>
      <w:r>
        <w:rPr>
          <w:sz w:val="19"/>
          <w:szCs w:val="19"/>
        </w:rPr>
        <w:fldChar w:fldCharType="separate"/>
      </w:r>
      <w:r>
        <w:rPr>
          <w:sz w:val="19"/>
          <w:szCs w:val="19"/>
        </w:rPr>
        <w:t xml:space="preserve">1. </w:t>
      </w:r>
      <w:r>
        <w:rPr>
          <w:sz w:val="19"/>
          <w:szCs w:val="19"/>
        </w:rPr>
        <w:tab/>
      </w:r>
      <w:r>
        <w:rPr>
          <w:sz w:val="19"/>
          <w:szCs w:val="19"/>
        </w:rPr>
        <w:t xml:space="preserve">Skrivankova VW, Richmond RC, Woolf BAR, Yarmolinsky J, Davies NM, Swanson SA, et al. Strengthening the Reporting of Observational Studies in Epidemiology using Mendelian Randomization (STROBE-MR) Statement. JAMA. 2021;under review. </w:t>
      </w:r>
    </w:p>
    <w:p w14:paraId="63BF03A9">
      <w:pPr>
        <w:widowControl w:val="0"/>
        <w:autoSpaceDE w:val="0"/>
        <w:autoSpaceDN w:val="0"/>
        <w:adjustRightInd w:val="0"/>
        <w:spacing w:before="240" w:after="240" w:line="240" w:lineRule="auto"/>
        <w:ind w:left="640" w:hanging="640"/>
        <w:rPr>
          <w:sz w:val="19"/>
          <w:szCs w:val="19"/>
        </w:rPr>
      </w:pPr>
      <w:r>
        <w:rPr>
          <w:sz w:val="19"/>
          <w:szCs w:val="19"/>
        </w:rPr>
        <w:t xml:space="preserve">2. </w:t>
      </w:r>
      <w:r>
        <w:rPr>
          <w:sz w:val="19"/>
          <w:szCs w:val="19"/>
        </w:rPr>
        <w:tab/>
      </w:r>
      <w:r>
        <w:rPr>
          <w:sz w:val="19"/>
          <w:szCs w:val="19"/>
        </w:rPr>
        <w:t xml:space="preserve">Skrivankova VW, Richmond RC, Woolf BAR, Davies NM, Swanson SA, VanderWeele TJ, et al. Strengthening the Reporting of Observational Studies in Epidemiology using Mendelian Randomisation (STROBE-MR): Explanation and Elaboration. BMJ. 2021;375:n2233. </w:t>
      </w:r>
    </w:p>
    <w:p w14:paraId="25DB435D">
      <w:pPr>
        <w:spacing w:before="240" w:after="240"/>
      </w:pPr>
      <w:r>
        <w:rPr>
          <w:sz w:val="19"/>
          <w:szCs w:val="19"/>
        </w:rPr>
        <w:fldChar w:fldCharType="end"/>
      </w:r>
    </w:p>
    <w:sectPr>
      <w:footerReference r:id="rId5" w:type="default"/>
      <w:footerReference r:id="rId6" w:type="even"/>
      <w:pgSz w:w="15840" w:h="12240" w:orient="landscape"/>
      <w:pgMar w:top="1008" w:right="720" w:bottom="1008" w:left="720" w:header="720" w:footer="720" w:gutter="0"/>
      <w:pgNumType w:start="1"/>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imes New Roman Regular">
    <w:altName w:val="Times New Roman"/>
    <w:panose1 w:val="02020503050405090304"/>
    <w:charset w:val="00"/>
    <w:family w:val="auto"/>
    <w:pitch w:val="default"/>
    <w:sig w:usb0="00000000" w:usb1="00000000" w:usb2="00000001" w:usb3="00000000" w:csb0="400001BF" w:csb1="DFF7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B7B5E">
    <w:pPr>
      <w:pStyle w:val="2"/>
      <w:jc w:val="right"/>
    </w:pPr>
    <w:r>
      <w:fldChar w:fldCharType="begin"/>
    </w:r>
    <w:r>
      <w:instrText xml:space="preserve"> PAGE   \* MERGEFORMAT </w:instrText>
    </w:r>
    <w:r>
      <w:fldChar w:fldCharType="separate"/>
    </w:r>
    <w:r>
      <w:t>1</w:t>
    </w:r>
    <w:r>
      <w:fldChar w:fldCharType="end"/>
    </w:r>
  </w:p>
  <w:p w14:paraId="41D89672">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4A166">
    <w:pPr>
      <w:pStyle w:val="2"/>
      <w:framePr w:wrap="auto" w:vAnchor="text" w:hAnchor="margin" w:xAlign="right" w:y="1"/>
      <w:rPr>
        <w:rStyle w:val="5"/>
      </w:rPr>
    </w:pPr>
  </w:p>
  <w:p w14:paraId="40A0897E">
    <w:pPr>
      <w:pStyle w:val="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4C56"/>
    <w:rsid w:val="000A4CE8"/>
    <w:rsid w:val="002663E6"/>
    <w:rsid w:val="003D447D"/>
    <w:rsid w:val="003D47DD"/>
    <w:rsid w:val="004B5CBB"/>
    <w:rsid w:val="004E11D4"/>
    <w:rsid w:val="00514462"/>
    <w:rsid w:val="005520ED"/>
    <w:rsid w:val="005A0D0D"/>
    <w:rsid w:val="00685D31"/>
    <w:rsid w:val="006912BF"/>
    <w:rsid w:val="006A41D0"/>
    <w:rsid w:val="006B08D5"/>
    <w:rsid w:val="00804498"/>
    <w:rsid w:val="00914C56"/>
    <w:rsid w:val="00950729"/>
    <w:rsid w:val="009854A9"/>
    <w:rsid w:val="009E033F"/>
    <w:rsid w:val="00BB6328"/>
    <w:rsid w:val="00D65199"/>
    <w:rsid w:val="00D8098C"/>
    <w:rsid w:val="00ED48A3"/>
    <w:rsid w:val="00EF4B94"/>
    <w:rsid w:val="0997694A"/>
    <w:rsid w:val="52BF5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after="0" w:line="276" w:lineRule="auto"/>
    </w:pPr>
    <w:rPr>
      <w:rFonts w:ascii="Arial" w:hAnsi="Arial" w:eastAsia="Arial" w:cs="Arial"/>
      <w:sz w:val="22"/>
      <w:szCs w:val="22"/>
      <w:lang w:val="en" w:eastAsia="de-CH"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680"/>
        <w:tab w:val="right" w:pos="9360"/>
      </w:tabs>
      <w:spacing w:line="240" w:lineRule="auto"/>
    </w:pPr>
  </w:style>
  <w:style w:type="character" w:styleId="5">
    <w:name w:val="page number"/>
    <w:basedOn w:val="4"/>
    <w:semiHidden/>
    <w:unhideWhenUsed/>
    <w:qFormat/>
    <w:uiPriority w:val="99"/>
  </w:style>
  <w:style w:type="character" w:styleId="6">
    <w:name w:val="line number"/>
    <w:basedOn w:val="4"/>
    <w:semiHidden/>
    <w:unhideWhenUsed/>
    <w:uiPriority w:val="99"/>
  </w:style>
  <w:style w:type="character" w:customStyle="1" w:styleId="7">
    <w:name w:val="Footer Char"/>
    <w:basedOn w:val="4"/>
    <w:link w:val="2"/>
    <w:qFormat/>
    <w:uiPriority w:val="99"/>
    <w:rPr>
      <w:rFonts w:ascii="Arial" w:hAnsi="Arial" w:eastAsia="Arial" w:cs="Arial"/>
      <w:lang w:val="en" w:eastAsia="de-CH"/>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D76252F6EC97BD48BFC15397CDF87BCA" ma:contentTypeVersion="14" ma:contentTypeDescription="Ein neues Dokument erstellen." ma:contentTypeScope="" ma:versionID="99bba3a2774fdba6befc8d470ad041a8">
  <xsd:schema xmlns:xsd="http://www.w3.org/2001/XMLSchema" xmlns:xs="http://www.w3.org/2001/XMLSchema" xmlns:p="http://schemas.microsoft.com/office/2006/metadata/properties" xmlns:ns3="892d8916-a04a-483c-b38c-baf9957a1c5f" xmlns:ns4="697eed72-5420-4f01-93c1-7c9f4310e871" targetNamespace="http://schemas.microsoft.com/office/2006/metadata/properties" ma:root="true" ma:fieldsID="08b8b0ba8c484102a3bbe13611225d97" ns3:_="" ns4:_="">
    <xsd:import namespace="892d8916-a04a-483c-b38c-baf9957a1c5f"/>
    <xsd:import namespace="697eed72-5420-4f01-93c1-7c9f4310e87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2d8916-a04a-483c-b38c-baf9957a1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7eed72-5420-4f01-93c1-7c9f4310e871"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A32DB-E5B8-4E32-AD11-08F2E668867B}">
  <ds:schemaRefs/>
</ds:datastoreItem>
</file>

<file path=customXml/itemProps2.xml><?xml version="1.0" encoding="utf-8"?>
<ds:datastoreItem xmlns:ds="http://schemas.openxmlformats.org/officeDocument/2006/customXml" ds:itemID="{9FB0931C-FCE2-4CC4-80DE-15614B41F1F9}">
  <ds:schemaRefs/>
</ds:datastoreItem>
</file>

<file path=customXml/itemProps3.xml><?xml version="1.0" encoding="utf-8"?>
<ds:datastoreItem xmlns:ds="http://schemas.openxmlformats.org/officeDocument/2006/customXml" ds:itemID="{5DF20111-77FD-4F18-8E31-D737874646AB}">
  <ds:schemaRefs/>
</ds:datastoreItem>
</file>

<file path=customXml/itemProps4.xml><?xml version="1.0" encoding="utf-8"?>
<ds:datastoreItem xmlns:ds="http://schemas.openxmlformats.org/officeDocument/2006/customXml" ds:itemID="{A9898B61-61B7-44F1-9388-8B27875B1EDA}">
  <ds:schemaRefs/>
</ds:datastoreItem>
</file>

<file path=docProps/app.xml><?xml version="1.0" encoding="utf-8"?>
<Properties xmlns="http://schemas.openxmlformats.org/officeDocument/2006/extended-properties" xmlns:vt="http://schemas.openxmlformats.org/officeDocument/2006/docPropsVTypes">
  <Template>Normal.dotm</Template>
  <Company>University of Bern</Company>
  <Pages>7</Pages>
  <Words>1118</Words>
  <Characters>6520</Characters>
  <Lines>286</Lines>
  <Paragraphs>146</Paragraphs>
  <TotalTime>17</TotalTime>
  <ScaleCrop>false</ScaleCrop>
  <LinksUpToDate>false</LinksUpToDate>
  <CharactersWithSpaces>7535</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2022-04-07T08:09:00Z</dcterms:created>
  <dc:creator>Whitesell, Veronika (ISPM)</dc:creator>
  <cp:lastModifiedBy>星光</cp:lastModifiedBy>
  <cp:lastPrinted>2021-09-28T07:08:00Z</cp:lastPrinted>
  <dcterms:modified xsi:type="dcterms:W3CDTF">2025-04-10T12:16:11Z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0x010100D76252F6EC97BD48BFC15397CDF87BCA</vt:lpwstr>
  </property>
  <property fmtid="{D5CDD505-2E9C-101B-9397-08002B2CF9AE}" pid="3" name="Mendeley Document_1">
    <vt:lpwstr>True</vt:lpwstr>
  </property>
  <property fmtid="{D5CDD505-2E9C-101B-9397-08002B2CF9AE}" pid="4" name="Mendeley Unique User Id_1">
    <vt:lpwstr>54eed440-5ecd-3ecc-9960-859334ccb0da</vt:lpwstr>
  </property>
  <property fmtid="{D5CDD505-2E9C-101B-9397-08002B2CF9AE}" pid="5" name="Mendeley Citation Style_1">
    <vt:lpwstr>http://www.zotero.org/styles/vancouver-superscript</vt:lpwstr>
  </property>
  <property fmtid="{D5CDD505-2E9C-101B-9397-08002B2CF9AE}" pid="6" name="Mendeley Recent Style Id 0_1">
    <vt:lpwstr>http://www.zotero.org/styles/american-medical-association</vt:lpwstr>
  </property>
  <property fmtid="{D5CDD505-2E9C-101B-9397-08002B2CF9AE}" pid="7" name="Mendeley Recent Style Name 0_1">
    <vt:lpwstr>American Medical Association</vt:lpwstr>
  </property>
  <property fmtid="{D5CDD505-2E9C-101B-9397-08002B2CF9AE}" pid="8" name="Mendeley Recent Style Id 1_1">
    <vt:lpwstr>http://www.zotero.org/styles/american-political-science-association</vt:lpwstr>
  </property>
  <property fmtid="{D5CDD505-2E9C-101B-9397-08002B2CF9AE}" pid="9" name="Mendeley Recent Style Name 1_1">
    <vt:lpwstr>American Political Science Association</vt:lpwstr>
  </property>
  <property fmtid="{D5CDD505-2E9C-101B-9397-08002B2CF9AE}" pid="10" name="Mendeley Recent Style Id 2_1">
    <vt:lpwstr>http://www.zotero.org/styles/apa</vt:lpwstr>
  </property>
  <property fmtid="{D5CDD505-2E9C-101B-9397-08002B2CF9AE}" pid="11" name="Mendeley Recent Style Name 2_1">
    <vt:lpwstr>American Psychological Association 6th edition</vt:lpwstr>
  </property>
  <property fmtid="{D5CDD505-2E9C-101B-9397-08002B2CF9AE}" pid="12" name="Mendeley Recent Style Id 3_1">
    <vt:lpwstr>http://www.zotero.org/styles/american-sociological-association</vt:lpwstr>
  </property>
  <property fmtid="{D5CDD505-2E9C-101B-9397-08002B2CF9AE}" pid="13" name="Mendeley Recent Style Name 3_1">
    <vt:lpwstr>American Sociological Association</vt:lpwstr>
  </property>
  <property fmtid="{D5CDD505-2E9C-101B-9397-08002B2CF9AE}" pid="14" name="Mendeley Recent Style Id 4_1">
    <vt:lpwstr>http://www.zotero.org/styles/chicago-author-date</vt:lpwstr>
  </property>
  <property fmtid="{D5CDD505-2E9C-101B-9397-08002B2CF9AE}" pid="15" name="Mendeley Recent Style Name 4_1">
    <vt:lpwstr>Chicago Manual of Style 17th edition (author-date)</vt:lpwstr>
  </property>
  <property fmtid="{D5CDD505-2E9C-101B-9397-08002B2CF9AE}" pid="16" name="Mendeley Recent Style Id 5_1">
    <vt:lpwstr>http://www.zotero.org/styles/harvard-cite-them-right</vt:lpwstr>
  </property>
  <property fmtid="{D5CDD505-2E9C-101B-9397-08002B2CF9AE}" pid="17" name="Mendeley Recent Style Name 5_1">
    <vt:lpwstr>Cite Them Right 10th edition - Harvard</vt:lpwstr>
  </property>
  <property fmtid="{D5CDD505-2E9C-101B-9397-08002B2CF9AE}" pid="18" name="Mendeley Recent Style Id 6_1">
    <vt:lpwstr>http://www.zotero.org/styles/ieee</vt:lpwstr>
  </property>
  <property fmtid="{D5CDD505-2E9C-101B-9397-08002B2CF9AE}" pid="19" name="Mendeley Recent Style Name 6_1">
    <vt:lpwstr>IEEE</vt:lpwstr>
  </property>
  <property fmtid="{D5CDD505-2E9C-101B-9397-08002B2CF9AE}" pid="20" name="Mendeley Recent Style Id 7_1">
    <vt:lpwstr>http://www.zotero.org/styles/vancouver-imperial-college-london</vt:lpwstr>
  </property>
  <property fmtid="{D5CDD505-2E9C-101B-9397-08002B2CF9AE}" pid="21" name="Mendeley Recent Style Name 7_1">
    <vt:lpwstr>Imperial College London - Vancouver</vt:lpwstr>
  </property>
  <property fmtid="{D5CDD505-2E9C-101B-9397-08002B2CF9AE}" pid="22" name="Mendeley Recent Style Id 8_1">
    <vt:lpwstr>http://www.zotero.org/styles/vancouver</vt:lpwstr>
  </property>
  <property fmtid="{D5CDD505-2E9C-101B-9397-08002B2CF9AE}" pid="23" name="Mendeley Recent Style Name 8_1">
    <vt:lpwstr>Vancouver</vt:lpwstr>
  </property>
  <property fmtid="{D5CDD505-2E9C-101B-9397-08002B2CF9AE}" pid="24" name="Mendeley Recent Style Id 9_1">
    <vt:lpwstr>http://www.zotero.org/styles/vancouver-superscript</vt:lpwstr>
  </property>
  <property fmtid="{D5CDD505-2E9C-101B-9397-08002B2CF9AE}" pid="25" name="Mendeley Recent Style Name 9_1">
    <vt:lpwstr>Vancouver (superscript)</vt:lpwstr>
  </property>
  <property fmtid="{D5CDD505-2E9C-101B-9397-08002B2CF9AE}" pid="26" name="KSOProductBuildVer">
    <vt:lpwstr>2052-12.1.0.19302</vt:lpwstr>
  </property>
  <property fmtid="{D5CDD505-2E9C-101B-9397-08002B2CF9AE}" pid="27" name="ICV">
    <vt:lpwstr>A54B3956BA664F6BAFFD5852F09D1744_12</vt:lpwstr>
  </property>
  <property fmtid="{D5CDD505-2E9C-101B-9397-08002B2CF9AE}" pid="28" name="KSOTemplateDocerSaveRecord">
    <vt:lpwstr>eyJoZGlkIjoiNGZjMGU4MzBlOGFjNmRhNGU3MzM5N2U5MzQzMzE4NGUiLCJ1c2VySWQiOiI3Mjk2MDQ1NjAifQ==</vt:lpwstr>
  </property>
</Properties>
</file>